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4030F" w14:textId="484B6ED0" w:rsidR="007A5616" w:rsidRPr="003427A6" w:rsidRDefault="00507823" w:rsidP="00507823">
      <w:pPr>
        <w:spacing w:line="360" w:lineRule="auto"/>
        <w:jc w:val="center"/>
        <w:outlineLvl w:val="0"/>
        <w:rPr>
          <w:rFonts w:ascii="Candara" w:hAnsi="Candara"/>
          <w:b/>
          <w:color w:val="0D0D0D" w:themeColor="text1" w:themeTint="F2"/>
          <w:sz w:val="32"/>
        </w:rPr>
      </w:pPr>
      <w:bookmarkStart w:id="0" w:name="_Hlk535668332"/>
      <w:bookmarkStart w:id="1" w:name="_Hlk532041383"/>
      <w:r w:rsidRPr="003427A6">
        <w:rPr>
          <w:rFonts w:ascii="Candara" w:hAnsi="Candara"/>
          <w:b/>
          <w:color w:val="0D0D0D" w:themeColor="text1" w:themeTint="F2"/>
          <w:sz w:val="32"/>
        </w:rPr>
        <w:t xml:space="preserve">Inhibition of the Sodium–Proton </w:t>
      </w:r>
      <w:r w:rsidR="00C5008F" w:rsidRPr="003427A6">
        <w:rPr>
          <w:rFonts w:ascii="Candara" w:hAnsi="Candara"/>
          <w:b/>
          <w:color w:val="0D0D0D" w:themeColor="text1" w:themeTint="F2"/>
          <w:sz w:val="32"/>
        </w:rPr>
        <w:t>Antiporter (</w:t>
      </w:r>
      <w:r w:rsidR="00066A9E" w:rsidRPr="003427A6">
        <w:rPr>
          <w:rFonts w:ascii="Candara" w:hAnsi="Candara"/>
          <w:b/>
          <w:color w:val="0D0D0D" w:themeColor="text1" w:themeTint="F2"/>
          <w:sz w:val="32"/>
        </w:rPr>
        <w:t>Exchanger</w:t>
      </w:r>
      <w:r w:rsidR="00C5008F" w:rsidRPr="003427A6">
        <w:rPr>
          <w:rFonts w:ascii="Candara" w:hAnsi="Candara"/>
          <w:b/>
          <w:color w:val="0D0D0D" w:themeColor="text1" w:themeTint="F2"/>
          <w:sz w:val="32"/>
        </w:rPr>
        <w:t>)</w:t>
      </w:r>
      <w:r w:rsidRPr="003427A6">
        <w:rPr>
          <w:rFonts w:ascii="Candara" w:hAnsi="Candara"/>
          <w:b/>
          <w:color w:val="0D0D0D" w:themeColor="text1" w:themeTint="F2"/>
          <w:sz w:val="32"/>
        </w:rPr>
        <w:t xml:space="preserve"> is </w:t>
      </w:r>
      <w:r w:rsidR="00490CF1" w:rsidRPr="003427A6">
        <w:rPr>
          <w:rFonts w:ascii="Candara" w:hAnsi="Candara"/>
          <w:b/>
          <w:color w:val="0D0D0D" w:themeColor="text1" w:themeTint="F2"/>
          <w:sz w:val="32"/>
        </w:rPr>
        <w:t>a P</w:t>
      </w:r>
      <w:r w:rsidR="001B681B" w:rsidRPr="003427A6">
        <w:rPr>
          <w:rFonts w:ascii="Candara" w:hAnsi="Candara"/>
          <w:b/>
          <w:color w:val="0D0D0D" w:themeColor="text1" w:themeTint="F2"/>
          <w:sz w:val="32"/>
        </w:rPr>
        <w:t>lausible</w:t>
      </w:r>
      <w:r w:rsidRPr="003427A6">
        <w:rPr>
          <w:rFonts w:ascii="Candara" w:hAnsi="Candara"/>
          <w:b/>
          <w:color w:val="0D0D0D" w:themeColor="text1" w:themeTint="F2"/>
          <w:sz w:val="32"/>
        </w:rPr>
        <w:t xml:space="preserve"> Mechanism of Potential Benefit </w:t>
      </w:r>
      <w:bookmarkEnd w:id="0"/>
      <w:r w:rsidRPr="003427A6">
        <w:rPr>
          <w:rFonts w:ascii="Candara" w:hAnsi="Candara"/>
          <w:b/>
          <w:color w:val="0D0D0D" w:themeColor="text1" w:themeTint="F2"/>
          <w:sz w:val="32"/>
        </w:rPr>
        <w:t xml:space="preserve">and Harm </w:t>
      </w:r>
      <w:r w:rsidR="00700EBA" w:rsidRPr="003427A6">
        <w:rPr>
          <w:rFonts w:ascii="Candara" w:hAnsi="Candara"/>
          <w:b/>
          <w:color w:val="0D0D0D" w:themeColor="text1" w:themeTint="F2"/>
          <w:sz w:val="32"/>
        </w:rPr>
        <w:t>f</w:t>
      </w:r>
      <w:r w:rsidRPr="003427A6">
        <w:rPr>
          <w:rFonts w:ascii="Candara" w:hAnsi="Candara"/>
          <w:b/>
          <w:color w:val="0D0D0D" w:themeColor="text1" w:themeTint="F2"/>
          <w:sz w:val="32"/>
        </w:rPr>
        <w:t>or Drugs Designed to Block Sodium Glucose Co-transporter 2</w:t>
      </w:r>
      <w:r w:rsidR="00A57015">
        <w:rPr>
          <w:rFonts w:ascii="Candara" w:hAnsi="Candara"/>
          <w:b/>
          <w:color w:val="0D0D0D" w:themeColor="text1" w:themeTint="F2"/>
          <w:sz w:val="32"/>
        </w:rPr>
        <w:t xml:space="preserve"> </w:t>
      </w:r>
    </w:p>
    <w:bookmarkEnd w:id="1"/>
    <w:p w14:paraId="27BB556C" w14:textId="77777777" w:rsidR="00507823" w:rsidRPr="00A57015" w:rsidRDefault="00507823" w:rsidP="00FC4CE1">
      <w:pPr>
        <w:spacing w:line="360" w:lineRule="auto"/>
        <w:jc w:val="center"/>
        <w:outlineLvl w:val="0"/>
        <w:rPr>
          <w:rFonts w:ascii="Candara" w:hAnsi="Candara"/>
          <w:b/>
          <w:color w:val="0D0D0D" w:themeColor="text1" w:themeTint="F2"/>
        </w:rPr>
      </w:pPr>
    </w:p>
    <w:p w14:paraId="11DB1E3D" w14:textId="6B3E7D7E" w:rsidR="005B5339" w:rsidRPr="003427A6" w:rsidRDefault="0057489A" w:rsidP="00507823">
      <w:pPr>
        <w:tabs>
          <w:tab w:val="left" w:pos="600"/>
        </w:tabs>
        <w:spacing w:line="360" w:lineRule="auto"/>
        <w:jc w:val="center"/>
        <w:outlineLvl w:val="0"/>
        <w:rPr>
          <w:rFonts w:ascii="Candara" w:hAnsi="Candara"/>
          <w:b/>
          <w:color w:val="0D0D0D" w:themeColor="text1" w:themeTint="F2"/>
        </w:rPr>
      </w:pPr>
      <w:r w:rsidRPr="003427A6">
        <w:rPr>
          <w:rFonts w:ascii="Candara" w:hAnsi="Candara"/>
          <w:b/>
          <w:color w:val="0D0D0D" w:themeColor="text1" w:themeTint="F2"/>
        </w:rPr>
        <w:t xml:space="preserve">Brief Title: </w:t>
      </w:r>
      <w:r w:rsidR="00507823" w:rsidRPr="003427A6">
        <w:rPr>
          <w:rFonts w:ascii="Candara" w:hAnsi="Candara"/>
          <w:b/>
          <w:color w:val="0D0D0D" w:themeColor="text1" w:themeTint="F2"/>
        </w:rPr>
        <w:t>Organ System Impact of NHE Inhibition by SGLT2i</w:t>
      </w:r>
    </w:p>
    <w:p w14:paraId="0A1C23E5" w14:textId="77777777" w:rsidR="00581515" w:rsidRPr="003427A6" w:rsidRDefault="00581515" w:rsidP="00D46306">
      <w:pPr>
        <w:spacing w:line="360" w:lineRule="auto"/>
        <w:jc w:val="center"/>
        <w:rPr>
          <w:rFonts w:ascii="Candara" w:hAnsi="Candara"/>
          <w:sz w:val="22"/>
          <w:szCs w:val="22"/>
        </w:rPr>
      </w:pPr>
    </w:p>
    <w:p w14:paraId="52CF31AF" w14:textId="2C9EEA20" w:rsidR="0090458A" w:rsidRPr="003427A6" w:rsidRDefault="00507823" w:rsidP="00203973">
      <w:pPr>
        <w:spacing w:line="360" w:lineRule="auto"/>
        <w:jc w:val="center"/>
        <w:rPr>
          <w:rFonts w:ascii="Candara" w:hAnsi="Candara"/>
          <w:sz w:val="22"/>
          <w:szCs w:val="22"/>
          <w:vertAlign w:val="superscript"/>
        </w:rPr>
      </w:pPr>
      <w:r w:rsidRPr="003427A6">
        <w:rPr>
          <w:rFonts w:ascii="Candara" w:hAnsi="Candara"/>
          <w:sz w:val="22"/>
          <w:szCs w:val="22"/>
        </w:rPr>
        <w:t>Peter A. McCullough, MD, MPH</w:t>
      </w:r>
      <w:r w:rsidR="00AE217B" w:rsidRPr="003427A6">
        <w:rPr>
          <w:rFonts w:ascii="Candara" w:hAnsi="Candara"/>
          <w:sz w:val="22"/>
          <w:szCs w:val="22"/>
          <w:vertAlign w:val="superscript"/>
        </w:rPr>
        <w:t>1 2 3 4</w:t>
      </w:r>
      <w:r w:rsidR="00700EBA" w:rsidRPr="003427A6">
        <w:rPr>
          <w:rFonts w:ascii="Candara" w:hAnsi="Candara"/>
          <w:sz w:val="22"/>
          <w:szCs w:val="22"/>
        </w:rPr>
        <w:t>, Aaron Y. Kluger, MPH</w:t>
      </w:r>
      <w:r w:rsidR="00181ED0" w:rsidRPr="003427A6">
        <w:rPr>
          <w:rFonts w:ascii="Candara" w:hAnsi="Candara"/>
          <w:sz w:val="22"/>
          <w:szCs w:val="22"/>
          <w:vertAlign w:val="superscript"/>
        </w:rPr>
        <w:t>3 5</w:t>
      </w:r>
      <w:r w:rsidR="00262C5D" w:rsidRPr="003427A6">
        <w:rPr>
          <w:rFonts w:ascii="Candara" w:hAnsi="Candara"/>
          <w:sz w:val="22"/>
          <w:szCs w:val="22"/>
        </w:rPr>
        <w:t xml:space="preserve">, Kristen </w:t>
      </w:r>
      <w:r w:rsidR="00AE217B" w:rsidRPr="003427A6">
        <w:rPr>
          <w:rFonts w:ascii="Candara" w:hAnsi="Candara"/>
          <w:sz w:val="22"/>
          <w:szCs w:val="22"/>
        </w:rPr>
        <w:t xml:space="preserve">M. </w:t>
      </w:r>
      <w:r w:rsidR="00262C5D" w:rsidRPr="003427A6">
        <w:rPr>
          <w:rFonts w:ascii="Candara" w:hAnsi="Candara"/>
          <w:sz w:val="22"/>
          <w:szCs w:val="22"/>
        </w:rPr>
        <w:t>Tecson, PhD</w:t>
      </w:r>
      <w:r w:rsidR="00181ED0" w:rsidRPr="003427A6">
        <w:rPr>
          <w:rFonts w:ascii="Candara" w:hAnsi="Candara"/>
          <w:sz w:val="22"/>
          <w:szCs w:val="22"/>
          <w:vertAlign w:val="superscript"/>
        </w:rPr>
        <w:t xml:space="preserve">3 4 </w:t>
      </w:r>
      <w:r w:rsidR="00810E94" w:rsidRPr="003427A6">
        <w:rPr>
          <w:rFonts w:ascii="Candara" w:hAnsi="Candara"/>
          <w:sz w:val="22"/>
          <w:szCs w:val="22"/>
          <w:vertAlign w:val="superscript"/>
        </w:rPr>
        <w:t>5</w:t>
      </w:r>
      <w:r w:rsidR="00262C5D" w:rsidRPr="003427A6">
        <w:rPr>
          <w:rFonts w:ascii="Candara" w:hAnsi="Candara"/>
          <w:sz w:val="22"/>
          <w:szCs w:val="22"/>
        </w:rPr>
        <w:t>,</w:t>
      </w:r>
      <w:r w:rsidR="003D57D0" w:rsidRPr="003427A6">
        <w:rPr>
          <w:rFonts w:ascii="Candara" w:hAnsi="Candara"/>
          <w:sz w:val="22"/>
          <w:szCs w:val="22"/>
        </w:rPr>
        <w:t xml:space="preserve"> Clay M. Barbin, MD</w:t>
      </w:r>
      <w:r w:rsidR="00810E94" w:rsidRPr="003427A6">
        <w:rPr>
          <w:rFonts w:ascii="Candara" w:hAnsi="Candara"/>
          <w:sz w:val="22"/>
          <w:szCs w:val="22"/>
          <w:vertAlign w:val="superscript"/>
        </w:rPr>
        <w:t>1</w:t>
      </w:r>
      <w:r w:rsidR="000015A6" w:rsidRPr="003427A6">
        <w:rPr>
          <w:rFonts w:ascii="Candara" w:hAnsi="Candara"/>
          <w:sz w:val="22"/>
          <w:szCs w:val="22"/>
          <w:vertAlign w:val="superscript"/>
        </w:rPr>
        <w:t xml:space="preserve"> 2</w:t>
      </w:r>
      <w:r w:rsidR="003D57D0" w:rsidRPr="003427A6">
        <w:rPr>
          <w:rFonts w:ascii="Candara" w:hAnsi="Candara"/>
          <w:sz w:val="22"/>
          <w:szCs w:val="22"/>
        </w:rPr>
        <w:t>, Andy</w:t>
      </w:r>
      <w:r w:rsidR="00D81924" w:rsidRPr="003427A6">
        <w:rPr>
          <w:rFonts w:ascii="Candara" w:hAnsi="Candara"/>
          <w:sz w:val="22"/>
          <w:szCs w:val="22"/>
        </w:rPr>
        <w:t xml:space="preserve"> Y.</w:t>
      </w:r>
      <w:r w:rsidR="003D57D0" w:rsidRPr="003427A6">
        <w:rPr>
          <w:rFonts w:ascii="Candara" w:hAnsi="Candara"/>
          <w:sz w:val="22"/>
          <w:szCs w:val="22"/>
        </w:rPr>
        <w:t xml:space="preserve"> Lee, </w:t>
      </w:r>
      <w:r w:rsidR="00E8605A" w:rsidRPr="003427A6">
        <w:rPr>
          <w:rFonts w:ascii="Candara" w:hAnsi="Candara"/>
          <w:sz w:val="22"/>
          <w:szCs w:val="22"/>
        </w:rPr>
        <w:t>MD</w:t>
      </w:r>
      <w:r w:rsidR="00810E94" w:rsidRPr="003427A6">
        <w:rPr>
          <w:rFonts w:ascii="Candara" w:hAnsi="Candara"/>
          <w:sz w:val="22"/>
          <w:szCs w:val="22"/>
          <w:vertAlign w:val="superscript"/>
        </w:rPr>
        <w:t>1</w:t>
      </w:r>
      <w:r w:rsidR="000015A6" w:rsidRPr="003427A6">
        <w:rPr>
          <w:rFonts w:ascii="Candara" w:hAnsi="Candara"/>
          <w:sz w:val="22"/>
          <w:szCs w:val="22"/>
          <w:vertAlign w:val="superscript"/>
        </w:rPr>
        <w:t xml:space="preserve"> 2</w:t>
      </w:r>
      <w:r w:rsidR="00E8605A" w:rsidRPr="003427A6">
        <w:rPr>
          <w:rFonts w:ascii="Candara" w:hAnsi="Candara"/>
          <w:sz w:val="22"/>
          <w:szCs w:val="22"/>
        </w:rPr>
        <w:t>, Edgar</w:t>
      </w:r>
      <w:r w:rsidR="00262C5D" w:rsidRPr="003427A6">
        <w:rPr>
          <w:rFonts w:ascii="Candara" w:hAnsi="Candara"/>
          <w:sz w:val="22"/>
          <w:szCs w:val="22"/>
        </w:rPr>
        <w:t xml:space="preserve"> </w:t>
      </w:r>
      <w:r w:rsidR="00BF5576" w:rsidRPr="003427A6">
        <w:rPr>
          <w:rFonts w:ascii="Candara" w:hAnsi="Candara"/>
          <w:sz w:val="22"/>
          <w:szCs w:val="22"/>
        </w:rPr>
        <w:t xml:space="preserve">V. </w:t>
      </w:r>
      <w:r w:rsidR="00262C5D" w:rsidRPr="003427A6">
        <w:rPr>
          <w:rFonts w:ascii="Candara" w:hAnsi="Candara"/>
          <w:sz w:val="22"/>
          <w:szCs w:val="22"/>
        </w:rPr>
        <w:t>Lerma, MD, MPH</w:t>
      </w:r>
      <w:r w:rsidR="00927597" w:rsidRPr="003427A6">
        <w:rPr>
          <w:rFonts w:ascii="Candara" w:hAnsi="Candara"/>
          <w:sz w:val="22"/>
          <w:szCs w:val="22"/>
          <w:vertAlign w:val="superscript"/>
        </w:rPr>
        <w:t>6</w:t>
      </w:r>
      <w:r w:rsidR="00262C5D" w:rsidRPr="003427A6">
        <w:rPr>
          <w:rFonts w:ascii="Candara" w:hAnsi="Candara"/>
          <w:sz w:val="22"/>
          <w:szCs w:val="22"/>
        </w:rPr>
        <w:t>,</w:t>
      </w:r>
      <w:r w:rsidR="003D57D0" w:rsidRPr="003427A6">
        <w:rPr>
          <w:rFonts w:ascii="Candara" w:hAnsi="Candara"/>
          <w:sz w:val="22"/>
          <w:szCs w:val="22"/>
        </w:rPr>
        <w:t xml:space="preserve"> </w:t>
      </w:r>
      <w:r w:rsidR="00415AE2" w:rsidRPr="003427A6">
        <w:rPr>
          <w:rFonts w:ascii="Candara" w:hAnsi="Candara"/>
          <w:sz w:val="22"/>
          <w:szCs w:val="22"/>
        </w:rPr>
        <w:t>Zachary</w:t>
      </w:r>
      <w:r w:rsidR="00BF5576" w:rsidRPr="003427A6">
        <w:rPr>
          <w:rFonts w:ascii="Candara" w:hAnsi="Candara"/>
          <w:sz w:val="22"/>
          <w:szCs w:val="22"/>
        </w:rPr>
        <w:t xml:space="preserve"> P.</w:t>
      </w:r>
      <w:r w:rsidR="003D57D0" w:rsidRPr="003427A6">
        <w:rPr>
          <w:rFonts w:ascii="Candara" w:hAnsi="Candara"/>
          <w:sz w:val="22"/>
          <w:szCs w:val="22"/>
        </w:rPr>
        <w:t xml:space="preserve"> Rosol, MD</w:t>
      </w:r>
      <w:r w:rsidR="00810E94" w:rsidRPr="003427A6">
        <w:rPr>
          <w:rFonts w:ascii="Candara" w:hAnsi="Candara"/>
          <w:sz w:val="22"/>
          <w:szCs w:val="22"/>
          <w:vertAlign w:val="superscript"/>
        </w:rPr>
        <w:t>1</w:t>
      </w:r>
      <w:r w:rsidR="000015A6" w:rsidRPr="003427A6">
        <w:rPr>
          <w:rFonts w:ascii="Candara" w:hAnsi="Candara"/>
          <w:sz w:val="22"/>
          <w:szCs w:val="22"/>
          <w:vertAlign w:val="superscript"/>
        </w:rPr>
        <w:t xml:space="preserve"> 2</w:t>
      </w:r>
      <w:r w:rsidR="003D57D0" w:rsidRPr="003427A6">
        <w:rPr>
          <w:rFonts w:ascii="Candara" w:hAnsi="Candara"/>
          <w:sz w:val="22"/>
          <w:szCs w:val="22"/>
        </w:rPr>
        <w:t>,</w:t>
      </w:r>
      <w:r w:rsidR="00911B00" w:rsidRPr="003427A6">
        <w:rPr>
          <w:rFonts w:ascii="Candara" w:hAnsi="Candara"/>
          <w:sz w:val="22"/>
          <w:szCs w:val="22"/>
        </w:rPr>
        <w:t xml:space="preserve"> Sivan L. Kluger,</w:t>
      </w:r>
      <w:r w:rsidR="00262C5D" w:rsidRPr="003427A6">
        <w:rPr>
          <w:rFonts w:ascii="Candara" w:hAnsi="Candara"/>
          <w:sz w:val="22"/>
          <w:szCs w:val="22"/>
        </w:rPr>
        <w:t xml:space="preserve"> Janani Rangaswami, MD</w:t>
      </w:r>
      <w:r w:rsidR="0009766E" w:rsidRPr="003427A6">
        <w:rPr>
          <w:rFonts w:ascii="Candara" w:hAnsi="Candara"/>
          <w:sz w:val="22"/>
          <w:szCs w:val="22"/>
          <w:vertAlign w:val="superscript"/>
        </w:rPr>
        <w:t>7 8</w:t>
      </w:r>
    </w:p>
    <w:p w14:paraId="7D141F45" w14:textId="0800A536" w:rsidR="00262C5D" w:rsidRPr="003427A6" w:rsidRDefault="00262C5D" w:rsidP="00203973">
      <w:pPr>
        <w:spacing w:line="360" w:lineRule="auto"/>
        <w:jc w:val="center"/>
        <w:rPr>
          <w:rFonts w:ascii="Candara" w:eastAsia="Times New Roman" w:hAnsi="Candara" w:cs="Times New Roman"/>
          <w:sz w:val="22"/>
          <w:szCs w:val="22"/>
          <w:shd w:val="clear" w:color="auto" w:fill="FFFFFF"/>
          <w:lang w:eastAsia="en-US"/>
        </w:rPr>
      </w:pPr>
    </w:p>
    <w:p w14:paraId="1BCEC7EF" w14:textId="175D3D2D" w:rsidR="00262C5D" w:rsidRPr="003427A6" w:rsidRDefault="00AE217B" w:rsidP="00203973">
      <w:pPr>
        <w:spacing w:line="360" w:lineRule="auto"/>
        <w:jc w:val="center"/>
        <w:rPr>
          <w:rFonts w:ascii="Candara" w:eastAsia="Times New Roman" w:hAnsi="Candara" w:cs="Times New Roman"/>
          <w:sz w:val="22"/>
          <w:szCs w:val="22"/>
          <w:shd w:val="clear" w:color="auto" w:fill="FFFFFF"/>
          <w:lang w:eastAsia="en-US"/>
        </w:rPr>
      </w:pPr>
      <w:r w:rsidRPr="003427A6">
        <w:rPr>
          <w:rFonts w:ascii="Candara" w:eastAsia="Times New Roman" w:hAnsi="Candara" w:cs="Times New Roman"/>
          <w:sz w:val="22"/>
          <w:szCs w:val="22"/>
          <w:shd w:val="clear" w:color="auto" w:fill="FFFFFF"/>
          <w:vertAlign w:val="superscript"/>
          <w:lang w:eastAsia="en-US"/>
        </w:rPr>
        <w:t>1</w:t>
      </w:r>
      <w:r w:rsidR="00262C5D" w:rsidRPr="003427A6">
        <w:rPr>
          <w:rFonts w:ascii="Candara" w:eastAsia="Times New Roman" w:hAnsi="Candara" w:cs="Times New Roman"/>
          <w:sz w:val="22"/>
          <w:szCs w:val="22"/>
          <w:shd w:val="clear" w:color="auto" w:fill="FFFFFF"/>
          <w:lang w:eastAsia="en-US"/>
        </w:rPr>
        <w:t>Baylor University Medical Center,</w:t>
      </w:r>
      <w:r w:rsidRPr="003427A6">
        <w:rPr>
          <w:rFonts w:ascii="Candara" w:eastAsia="Times New Roman" w:hAnsi="Candara" w:cs="Times New Roman"/>
          <w:sz w:val="22"/>
          <w:szCs w:val="22"/>
          <w:shd w:val="clear" w:color="auto" w:fill="FFFFFF"/>
          <w:lang w:eastAsia="en-US"/>
        </w:rPr>
        <w:t xml:space="preserve"> Dallas, TX;</w:t>
      </w:r>
      <w:r w:rsidR="00262C5D" w:rsidRPr="003427A6">
        <w:rPr>
          <w:rFonts w:ascii="Candara" w:eastAsia="Times New Roman" w:hAnsi="Candara" w:cs="Times New Roman"/>
          <w:sz w:val="22"/>
          <w:szCs w:val="22"/>
          <w:shd w:val="clear" w:color="auto" w:fill="FFFFFF"/>
          <w:lang w:eastAsia="en-US"/>
        </w:rPr>
        <w:t xml:space="preserve"> </w:t>
      </w:r>
      <w:r w:rsidRPr="003427A6">
        <w:rPr>
          <w:rFonts w:ascii="Candara" w:eastAsia="Times New Roman" w:hAnsi="Candara" w:cs="Times New Roman"/>
          <w:sz w:val="22"/>
          <w:szCs w:val="22"/>
          <w:shd w:val="clear" w:color="auto" w:fill="FFFFFF"/>
          <w:vertAlign w:val="superscript"/>
          <w:lang w:eastAsia="en-US"/>
        </w:rPr>
        <w:t>2</w:t>
      </w:r>
      <w:r w:rsidR="00262C5D" w:rsidRPr="003427A6">
        <w:rPr>
          <w:rFonts w:ascii="Candara" w:eastAsia="Times New Roman" w:hAnsi="Candara" w:cs="Times New Roman"/>
          <w:sz w:val="22"/>
          <w:szCs w:val="22"/>
          <w:shd w:val="clear" w:color="auto" w:fill="FFFFFF"/>
          <w:lang w:eastAsia="en-US"/>
        </w:rPr>
        <w:t>Baylor Heart and Vascular Hospital,</w:t>
      </w:r>
      <w:r w:rsidRPr="003427A6">
        <w:rPr>
          <w:rFonts w:ascii="Candara" w:eastAsia="Times New Roman" w:hAnsi="Candara" w:cs="Times New Roman"/>
          <w:sz w:val="22"/>
          <w:szCs w:val="22"/>
          <w:shd w:val="clear" w:color="auto" w:fill="FFFFFF"/>
          <w:lang w:eastAsia="en-US"/>
        </w:rPr>
        <w:t xml:space="preserve"> Dallas, TX;</w:t>
      </w:r>
      <w:r w:rsidR="00262C5D" w:rsidRPr="003427A6">
        <w:rPr>
          <w:rFonts w:ascii="Candara" w:eastAsia="Times New Roman" w:hAnsi="Candara" w:cs="Times New Roman"/>
          <w:sz w:val="22"/>
          <w:szCs w:val="22"/>
          <w:shd w:val="clear" w:color="auto" w:fill="FFFFFF"/>
          <w:lang w:eastAsia="en-US"/>
        </w:rPr>
        <w:t xml:space="preserve"> </w:t>
      </w:r>
      <w:r w:rsidRPr="003427A6">
        <w:rPr>
          <w:rFonts w:ascii="Candara" w:eastAsia="Times New Roman" w:hAnsi="Candara" w:cs="Times New Roman"/>
          <w:sz w:val="22"/>
          <w:szCs w:val="22"/>
          <w:shd w:val="clear" w:color="auto" w:fill="FFFFFF"/>
          <w:vertAlign w:val="superscript"/>
          <w:lang w:eastAsia="en-US"/>
        </w:rPr>
        <w:t>3</w:t>
      </w:r>
      <w:r w:rsidR="00262C5D" w:rsidRPr="003427A6">
        <w:rPr>
          <w:rFonts w:ascii="Candara" w:eastAsia="Times New Roman" w:hAnsi="Candara" w:cs="Times New Roman"/>
          <w:sz w:val="22"/>
          <w:szCs w:val="22"/>
          <w:shd w:val="clear" w:color="auto" w:fill="FFFFFF"/>
          <w:lang w:eastAsia="en-US"/>
        </w:rPr>
        <w:t>Baylor Heart and Vascular Institute,</w:t>
      </w:r>
      <w:r w:rsidRPr="003427A6">
        <w:rPr>
          <w:rFonts w:ascii="Candara" w:eastAsia="Times New Roman" w:hAnsi="Candara" w:cs="Times New Roman"/>
          <w:sz w:val="22"/>
          <w:szCs w:val="22"/>
          <w:shd w:val="clear" w:color="auto" w:fill="FFFFFF"/>
          <w:lang w:eastAsia="en-US"/>
        </w:rPr>
        <w:t xml:space="preserve"> Dallas, TX; </w:t>
      </w:r>
      <w:r w:rsidRPr="003427A6">
        <w:rPr>
          <w:rFonts w:ascii="Candara" w:eastAsia="Times New Roman" w:hAnsi="Candara" w:cs="Times New Roman"/>
          <w:sz w:val="22"/>
          <w:szCs w:val="22"/>
          <w:shd w:val="clear" w:color="auto" w:fill="FFFFFF"/>
          <w:vertAlign w:val="superscript"/>
          <w:lang w:eastAsia="en-US"/>
        </w:rPr>
        <w:t>4</w:t>
      </w:r>
      <w:r w:rsidRPr="003427A6">
        <w:rPr>
          <w:rFonts w:ascii="Candara" w:eastAsia="Times New Roman" w:hAnsi="Candara" w:cs="Times New Roman"/>
          <w:sz w:val="22"/>
          <w:szCs w:val="22"/>
          <w:shd w:val="clear" w:color="auto" w:fill="FFFFFF"/>
          <w:lang w:eastAsia="en-US"/>
        </w:rPr>
        <w:t>Texas A&amp;M College of Medicine Health Science Center, Dallas, TX;</w:t>
      </w:r>
      <w:r w:rsidR="00262C5D" w:rsidRPr="003427A6">
        <w:rPr>
          <w:rFonts w:ascii="Candara" w:eastAsia="Times New Roman" w:hAnsi="Candara" w:cs="Times New Roman"/>
          <w:sz w:val="22"/>
          <w:szCs w:val="22"/>
          <w:shd w:val="clear" w:color="auto" w:fill="FFFFFF"/>
          <w:lang w:eastAsia="en-US"/>
        </w:rPr>
        <w:t xml:space="preserve"> </w:t>
      </w:r>
      <w:r w:rsidRPr="003427A6">
        <w:rPr>
          <w:rFonts w:ascii="Candara" w:eastAsia="Times New Roman" w:hAnsi="Candara" w:cs="Times New Roman"/>
          <w:sz w:val="22"/>
          <w:szCs w:val="22"/>
          <w:shd w:val="clear" w:color="auto" w:fill="FFFFFF"/>
          <w:vertAlign w:val="superscript"/>
          <w:lang w:eastAsia="en-US"/>
        </w:rPr>
        <w:t>5</w:t>
      </w:r>
      <w:r w:rsidR="00262C5D" w:rsidRPr="003427A6">
        <w:rPr>
          <w:rFonts w:ascii="Candara" w:eastAsia="Times New Roman" w:hAnsi="Candara" w:cs="Times New Roman"/>
          <w:sz w:val="22"/>
          <w:szCs w:val="22"/>
          <w:shd w:val="clear" w:color="auto" w:fill="FFFFFF"/>
          <w:lang w:eastAsia="en-US"/>
        </w:rPr>
        <w:t xml:space="preserve">Baylor </w:t>
      </w:r>
      <w:r w:rsidRPr="003427A6">
        <w:rPr>
          <w:rFonts w:ascii="Candara" w:eastAsia="Times New Roman" w:hAnsi="Candara" w:cs="Times New Roman"/>
          <w:sz w:val="22"/>
          <w:szCs w:val="22"/>
          <w:shd w:val="clear" w:color="auto" w:fill="FFFFFF"/>
          <w:lang w:eastAsia="en-US"/>
        </w:rPr>
        <w:t xml:space="preserve">Scott &amp; White </w:t>
      </w:r>
      <w:r w:rsidR="00262C5D" w:rsidRPr="003427A6">
        <w:rPr>
          <w:rFonts w:ascii="Candara" w:eastAsia="Times New Roman" w:hAnsi="Candara" w:cs="Times New Roman"/>
          <w:sz w:val="22"/>
          <w:szCs w:val="22"/>
          <w:shd w:val="clear" w:color="auto" w:fill="FFFFFF"/>
          <w:lang w:eastAsia="en-US"/>
        </w:rPr>
        <w:t xml:space="preserve">Research Institute, </w:t>
      </w:r>
      <w:r w:rsidRPr="003427A6">
        <w:rPr>
          <w:rFonts w:ascii="Candara" w:eastAsia="Times New Roman" w:hAnsi="Candara" w:cs="Times New Roman"/>
          <w:sz w:val="22"/>
          <w:szCs w:val="22"/>
          <w:shd w:val="clear" w:color="auto" w:fill="FFFFFF"/>
          <w:lang w:eastAsia="en-US"/>
        </w:rPr>
        <w:t xml:space="preserve">Dallas, TX; </w:t>
      </w:r>
      <w:r w:rsidRPr="003427A6">
        <w:rPr>
          <w:rFonts w:ascii="Candara" w:eastAsia="Times New Roman" w:hAnsi="Candara" w:cs="Times New Roman"/>
          <w:sz w:val="22"/>
          <w:szCs w:val="22"/>
          <w:shd w:val="clear" w:color="auto" w:fill="FFFFFF"/>
          <w:vertAlign w:val="superscript"/>
          <w:lang w:eastAsia="en-US"/>
        </w:rPr>
        <w:t>6</w:t>
      </w:r>
      <w:r w:rsidR="00262C5D" w:rsidRPr="003427A6">
        <w:rPr>
          <w:rFonts w:ascii="Candara" w:eastAsia="Times New Roman" w:hAnsi="Candara" w:cs="Times New Roman"/>
          <w:sz w:val="22"/>
          <w:szCs w:val="22"/>
          <w:shd w:val="clear" w:color="auto" w:fill="FFFFFF"/>
          <w:lang w:eastAsia="en-US"/>
        </w:rPr>
        <w:t>Advocate Health System, Chicago, IL</w:t>
      </w:r>
      <w:r w:rsidRPr="003427A6">
        <w:rPr>
          <w:rFonts w:ascii="Candara" w:eastAsia="Times New Roman" w:hAnsi="Candara" w:cs="Times New Roman"/>
          <w:sz w:val="22"/>
          <w:szCs w:val="22"/>
          <w:shd w:val="clear" w:color="auto" w:fill="FFFFFF"/>
          <w:lang w:eastAsia="en-US"/>
        </w:rPr>
        <w:t>;</w:t>
      </w:r>
      <w:r w:rsidR="00262C5D" w:rsidRPr="003427A6">
        <w:rPr>
          <w:rFonts w:ascii="Candara" w:eastAsia="Times New Roman" w:hAnsi="Candara" w:cs="Times New Roman"/>
          <w:sz w:val="22"/>
          <w:szCs w:val="22"/>
          <w:shd w:val="clear" w:color="auto" w:fill="FFFFFF"/>
          <w:lang w:eastAsia="en-US"/>
        </w:rPr>
        <w:t xml:space="preserve"> </w:t>
      </w:r>
      <w:r w:rsidRPr="003427A6">
        <w:rPr>
          <w:rFonts w:ascii="Candara" w:eastAsia="Times New Roman" w:hAnsi="Candara" w:cs="Times New Roman"/>
          <w:sz w:val="22"/>
          <w:szCs w:val="22"/>
          <w:shd w:val="clear" w:color="auto" w:fill="FFFFFF"/>
          <w:vertAlign w:val="superscript"/>
          <w:lang w:eastAsia="en-US"/>
        </w:rPr>
        <w:t>7</w:t>
      </w:r>
      <w:r w:rsidR="00262C5D" w:rsidRPr="003427A6">
        <w:rPr>
          <w:rFonts w:ascii="Candara" w:eastAsia="Times New Roman" w:hAnsi="Candara" w:cs="Times New Roman"/>
          <w:sz w:val="22"/>
          <w:szCs w:val="22"/>
          <w:shd w:val="clear" w:color="auto" w:fill="FFFFFF"/>
          <w:lang w:eastAsia="en-US"/>
        </w:rPr>
        <w:t>Einstein Medical Center, Philadelphia</w:t>
      </w:r>
      <w:r w:rsidR="00236D33" w:rsidRPr="003427A6">
        <w:rPr>
          <w:rFonts w:ascii="Candara" w:eastAsia="Times New Roman" w:hAnsi="Candara" w:cs="Times New Roman"/>
          <w:sz w:val="22"/>
          <w:szCs w:val="22"/>
          <w:shd w:val="clear" w:color="auto" w:fill="FFFFFF"/>
          <w:lang w:eastAsia="en-US"/>
        </w:rPr>
        <w:t>,</w:t>
      </w:r>
      <w:r w:rsidRPr="003427A6">
        <w:rPr>
          <w:rFonts w:ascii="Candara" w:eastAsia="Times New Roman" w:hAnsi="Candara" w:cs="Times New Roman"/>
          <w:sz w:val="22"/>
          <w:szCs w:val="22"/>
          <w:shd w:val="clear" w:color="auto" w:fill="FFFFFF"/>
          <w:lang w:eastAsia="en-US"/>
        </w:rPr>
        <w:t xml:space="preserve"> PA;</w:t>
      </w:r>
      <w:r w:rsidR="00236D33" w:rsidRPr="003427A6">
        <w:rPr>
          <w:rFonts w:ascii="Candara" w:eastAsia="Times New Roman" w:hAnsi="Candara" w:cs="Times New Roman"/>
          <w:sz w:val="22"/>
          <w:szCs w:val="22"/>
          <w:shd w:val="clear" w:color="auto" w:fill="FFFFFF"/>
          <w:lang w:eastAsia="en-US"/>
        </w:rPr>
        <w:t xml:space="preserve"> </w:t>
      </w:r>
      <w:r w:rsidRPr="003427A6">
        <w:rPr>
          <w:rFonts w:ascii="Candara" w:eastAsia="Times New Roman" w:hAnsi="Candara" w:cs="Times New Roman"/>
          <w:sz w:val="22"/>
          <w:szCs w:val="22"/>
          <w:shd w:val="clear" w:color="auto" w:fill="FFFFFF"/>
          <w:vertAlign w:val="superscript"/>
          <w:lang w:eastAsia="en-US"/>
        </w:rPr>
        <w:t>8</w:t>
      </w:r>
      <w:r w:rsidR="00262C5D" w:rsidRPr="003427A6">
        <w:rPr>
          <w:rFonts w:ascii="Candara" w:eastAsia="Times New Roman" w:hAnsi="Candara" w:cs="Times New Roman"/>
          <w:sz w:val="22"/>
          <w:szCs w:val="22"/>
          <w:shd w:val="clear" w:color="auto" w:fill="FFFFFF"/>
          <w:lang w:eastAsia="en-US"/>
        </w:rPr>
        <w:t>Sidney Kimmel College of Thomas Jefferson University, Philadelphia</w:t>
      </w:r>
      <w:r w:rsidRPr="003427A6">
        <w:rPr>
          <w:rFonts w:ascii="Candara" w:eastAsia="Times New Roman" w:hAnsi="Candara" w:cs="Times New Roman"/>
          <w:sz w:val="22"/>
          <w:szCs w:val="22"/>
          <w:shd w:val="clear" w:color="auto" w:fill="FFFFFF"/>
          <w:lang w:eastAsia="en-US"/>
        </w:rPr>
        <w:t>, PA</w:t>
      </w:r>
    </w:p>
    <w:p w14:paraId="2B01C636" w14:textId="25E99C7A" w:rsidR="003A2836" w:rsidRPr="003427A6" w:rsidRDefault="003A2836" w:rsidP="00FC4CE1">
      <w:pPr>
        <w:spacing w:line="360" w:lineRule="auto"/>
        <w:rPr>
          <w:rFonts w:ascii="Candara" w:hAnsi="Candara" w:cs="Arial"/>
          <w:b/>
        </w:rPr>
      </w:pPr>
    </w:p>
    <w:p w14:paraId="58243BA1" w14:textId="59E031D3" w:rsidR="00EC66D2" w:rsidRPr="003427A6" w:rsidRDefault="00EC66D2" w:rsidP="00FC4CE1">
      <w:pPr>
        <w:spacing w:line="360" w:lineRule="auto"/>
        <w:rPr>
          <w:rFonts w:ascii="Candara" w:hAnsi="Candara" w:cs="Arial"/>
        </w:rPr>
      </w:pPr>
      <w:r w:rsidRPr="003427A6">
        <w:rPr>
          <w:rFonts w:ascii="Candara" w:hAnsi="Candara" w:cs="Arial"/>
          <w:b/>
        </w:rPr>
        <w:t>Word Count</w:t>
      </w:r>
      <w:r w:rsidRPr="003427A6">
        <w:rPr>
          <w:rFonts w:ascii="Candara" w:hAnsi="Candara" w:cs="Arial"/>
        </w:rPr>
        <w:t>:</w:t>
      </w:r>
      <w:r w:rsidR="003A43A0" w:rsidRPr="003427A6">
        <w:rPr>
          <w:rFonts w:ascii="Candara" w:hAnsi="Candara" w:cs="Arial"/>
        </w:rPr>
        <w:t xml:space="preserve"> </w:t>
      </w:r>
      <w:r w:rsidR="008F65AF" w:rsidRPr="003427A6">
        <w:rPr>
          <w:rFonts w:ascii="Candara" w:hAnsi="Candara" w:cs="Arial"/>
        </w:rPr>
        <w:t>4000</w:t>
      </w:r>
    </w:p>
    <w:p w14:paraId="1B817B29" w14:textId="69293849" w:rsidR="00EC66D2" w:rsidRDefault="00A4613E" w:rsidP="00FC4CE1">
      <w:pPr>
        <w:widowControl w:val="0"/>
        <w:autoSpaceDE w:val="0"/>
        <w:autoSpaceDN w:val="0"/>
        <w:adjustRightInd w:val="0"/>
        <w:spacing w:line="360" w:lineRule="auto"/>
        <w:rPr>
          <w:rFonts w:ascii="Candara" w:hAnsi="Candara" w:cs="Arial"/>
        </w:rPr>
      </w:pPr>
      <w:r w:rsidRPr="003427A6">
        <w:rPr>
          <w:rFonts w:ascii="Candara" w:hAnsi="Candara" w:cs="Arial"/>
          <w:b/>
        </w:rPr>
        <w:t>Address correspondence to</w:t>
      </w:r>
      <w:r w:rsidRPr="003427A6">
        <w:rPr>
          <w:rFonts w:ascii="Candara" w:hAnsi="Candara" w:cs="Arial"/>
        </w:rPr>
        <w:t xml:space="preserve">: </w:t>
      </w:r>
      <w:r w:rsidR="00C5008F" w:rsidRPr="003427A6">
        <w:rPr>
          <w:rFonts w:ascii="Candara" w:hAnsi="Candara" w:cs="Arial"/>
        </w:rPr>
        <w:t xml:space="preserve">  Peter A. McCullough, MD, MPH, Baylor Heart and Vascular Institute, 621 N. Hall #H030, Dallas TX  75226, phone:  214-820-7997, e-mail:  peteramccullough@gmail.com</w:t>
      </w:r>
    </w:p>
    <w:p w14:paraId="6D612C3F" w14:textId="77777777" w:rsidR="0001436C" w:rsidRPr="0001436C" w:rsidRDefault="0001436C" w:rsidP="00FC4CE1">
      <w:pPr>
        <w:widowControl w:val="0"/>
        <w:autoSpaceDE w:val="0"/>
        <w:autoSpaceDN w:val="0"/>
        <w:adjustRightInd w:val="0"/>
        <w:spacing w:line="360" w:lineRule="auto"/>
        <w:rPr>
          <w:rFonts w:ascii="Candara" w:hAnsi="Candara" w:cs="Arial"/>
        </w:rPr>
      </w:pPr>
    </w:p>
    <w:p w14:paraId="63C5A580" w14:textId="6CA37046" w:rsidR="00882E0A" w:rsidRPr="0001436C" w:rsidRDefault="00A4613E" w:rsidP="008215FC">
      <w:pPr>
        <w:spacing w:line="360" w:lineRule="auto"/>
        <w:rPr>
          <w:rFonts w:ascii="Candara" w:hAnsi="Candara" w:hint="eastAsia"/>
          <w:b/>
          <w:color w:val="0D0D0D" w:themeColor="text1" w:themeTint="F2"/>
        </w:rPr>
      </w:pPr>
      <w:r w:rsidRPr="003427A6">
        <w:rPr>
          <w:rFonts w:ascii="Candara" w:hAnsi="Candara"/>
          <w:b/>
          <w:color w:val="0D0D0D" w:themeColor="text1" w:themeTint="F2"/>
        </w:rPr>
        <w:t>ABSTRACT</w:t>
      </w:r>
      <w:bookmarkStart w:id="2" w:name="_GoBack"/>
      <w:bookmarkEnd w:id="2"/>
    </w:p>
    <w:p w14:paraId="212ECFFC" w14:textId="54B66A5D" w:rsidR="00882E0A" w:rsidRPr="003427A6" w:rsidRDefault="00BB31E7" w:rsidP="0057395F">
      <w:pPr>
        <w:spacing w:line="360" w:lineRule="auto"/>
        <w:rPr>
          <w:rFonts w:ascii="Candara" w:hAnsi="Candara"/>
          <w:color w:val="0D0D0D" w:themeColor="text1" w:themeTint="F2"/>
        </w:rPr>
      </w:pPr>
      <w:r w:rsidRPr="003427A6">
        <w:rPr>
          <w:rFonts w:ascii="Candara" w:hAnsi="Candara"/>
          <w:color w:val="0D0D0D" w:themeColor="text1" w:themeTint="F2"/>
        </w:rPr>
        <w:t>Clinical trials</w:t>
      </w:r>
      <w:r w:rsidR="0057395F" w:rsidRPr="003427A6">
        <w:rPr>
          <w:rFonts w:ascii="Candara" w:hAnsi="Candara"/>
          <w:color w:val="0D0D0D" w:themeColor="text1" w:themeTint="F2"/>
        </w:rPr>
        <w:t xml:space="preserve"> of sodium glucose co-transporter 2 inhibitors (SGLT2i</w:t>
      </w:r>
      <w:r w:rsidR="00E8605A" w:rsidRPr="003427A6">
        <w:rPr>
          <w:rFonts w:ascii="Candara" w:hAnsi="Candara"/>
          <w:color w:val="0D0D0D" w:themeColor="text1" w:themeTint="F2"/>
        </w:rPr>
        <w:t>) in</w:t>
      </w:r>
      <w:r w:rsidRPr="003427A6">
        <w:rPr>
          <w:rFonts w:ascii="Candara" w:hAnsi="Candara"/>
          <w:color w:val="0D0D0D" w:themeColor="text1" w:themeTint="F2"/>
        </w:rPr>
        <w:t xml:space="preserve"> patients with </w:t>
      </w:r>
      <w:r w:rsidR="00066A9E" w:rsidRPr="003427A6">
        <w:rPr>
          <w:rFonts w:ascii="Candara" w:hAnsi="Candara"/>
          <w:color w:val="0D0D0D" w:themeColor="text1" w:themeTint="F2"/>
        </w:rPr>
        <w:t xml:space="preserve">type 2 </w:t>
      </w:r>
      <w:r w:rsidRPr="003427A6">
        <w:rPr>
          <w:rFonts w:ascii="Candara" w:hAnsi="Candara"/>
          <w:color w:val="0D0D0D" w:themeColor="text1" w:themeTint="F2"/>
        </w:rPr>
        <w:t xml:space="preserve">diabetes and comorbid cardiovascular and kidney disease have </w:t>
      </w:r>
      <w:r w:rsidR="00927597" w:rsidRPr="003427A6">
        <w:rPr>
          <w:rFonts w:ascii="Candara" w:hAnsi="Candara"/>
          <w:color w:val="0D0D0D" w:themeColor="text1" w:themeTint="F2"/>
        </w:rPr>
        <w:t xml:space="preserve">shown </w:t>
      </w:r>
      <w:r w:rsidRPr="003427A6">
        <w:rPr>
          <w:rFonts w:ascii="Candara" w:hAnsi="Candara"/>
          <w:color w:val="0D0D0D" w:themeColor="text1" w:themeTint="F2"/>
        </w:rPr>
        <w:t>reductions in major adverse cardiovascular events, heart failure hospitalization</w:t>
      </w:r>
      <w:r w:rsidR="00927597" w:rsidRPr="003427A6">
        <w:rPr>
          <w:rFonts w:ascii="Candara" w:hAnsi="Candara"/>
          <w:color w:val="0D0D0D" w:themeColor="text1" w:themeTint="F2"/>
        </w:rPr>
        <w:t>s</w:t>
      </w:r>
      <w:r w:rsidRPr="003427A6">
        <w:rPr>
          <w:rFonts w:ascii="Candara" w:hAnsi="Candara"/>
          <w:color w:val="0D0D0D" w:themeColor="text1" w:themeTint="F2"/>
        </w:rPr>
        <w:t xml:space="preserve">, and </w:t>
      </w:r>
      <w:r w:rsidR="00066A9E" w:rsidRPr="003427A6">
        <w:rPr>
          <w:rFonts w:ascii="Candara" w:hAnsi="Candara"/>
          <w:color w:val="0D0D0D" w:themeColor="text1" w:themeTint="F2"/>
        </w:rPr>
        <w:t>attenuation of the</w:t>
      </w:r>
      <w:r w:rsidRPr="003427A6">
        <w:rPr>
          <w:rFonts w:ascii="Candara" w:hAnsi="Candara"/>
          <w:color w:val="0D0D0D" w:themeColor="text1" w:themeTint="F2"/>
        </w:rPr>
        <w:t xml:space="preserve"> progression of kidney disease.   The magnitude of benefit appears to be greater than expected due to glycemic control, reduced blood pressure, and loss of adiposity. </w:t>
      </w:r>
      <w:r w:rsidR="006A5259" w:rsidRPr="003427A6">
        <w:rPr>
          <w:rFonts w:ascii="Candara" w:hAnsi="Candara"/>
          <w:color w:val="0D0D0D" w:themeColor="text1" w:themeTint="F2"/>
        </w:rPr>
        <w:t xml:space="preserve"> </w:t>
      </w:r>
      <w:r w:rsidR="0057395F" w:rsidRPr="003427A6">
        <w:rPr>
          <w:rFonts w:ascii="Candara" w:hAnsi="Candara"/>
          <w:color w:val="0D0D0D" w:themeColor="text1" w:themeTint="F2"/>
        </w:rPr>
        <w:t xml:space="preserve">This impact is also independent from reduced renal function and lesser degrees of natriuresis and glycosuria.  </w:t>
      </w:r>
      <w:r w:rsidRPr="003427A6">
        <w:rPr>
          <w:rFonts w:ascii="Candara" w:hAnsi="Candara"/>
          <w:color w:val="0D0D0D" w:themeColor="text1" w:themeTint="F2"/>
        </w:rPr>
        <w:t xml:space="preserve"> </w:t>
      </w:r>
      <w:r w:rsidR="00927597" w:rsidRPr="003427A6">
        <w:rPr>
          <w:rFonts w:ascii="Candara" w:hAnsi="Candara"/>
          <w:color w:val="0D0D0D" w:themeColor="text1" w:themeTint="F2"/>
        </w:rPr>
        <w:t>However</w:t>
      </w:r>
      <w:r w:rsidRPr="003427A6">
        <w:rPr>
          <w:rFonts w:ascii="Candara" w:hAnsi="Candara"/>
          <w:color w:val="0D0D0D" w:themeColor="text1" w:themeTint="F2"/>
        </w:rPr>
        <w:t>, these agents have</w:t>
      </w:r>
      <w:r w:rsidR="00927597" w:rsidRPr="003427A6">
        <w:rPr>
          <w:rFonts w:ascii="Candara" w:hAnsi="Candara"/>
          <w:color w:val="0D0D0D" w:themeColor="text1" w:themeTint="F2"/>
        </w:rPr>
        <w:t xml:space="preserve"> also</w:t>
      </w:r>
      <w:r w:rsidRPr="003427A6">
        <w:rPr>
          <w:rFonts w:ascii="Candara" w:hAnsi="Candara"/>
          <w:color w:val="0D0D0D" w:themeColor="text1" w:themeTint="F2"/>
        </w:rPr>
        <w:t xml:space="preserve"> been associated with limb amputation, </w:t>
      </w:r>
      <w:r w:rsidRPr="003427A6">
        <w:rPr>
          <w:rFonts w:ascii="Candara" w:hAnsi="Candara"/>
          <w:color w:val="0D0D0D" w:themeColor="text1" w:themeTint="F2"/>
        </w:rPr>
        <w:lastRenderedPageBreak/>
        <w:t>Fournier’s gangrene, diabetic ketoacidosis, metabolic bone disease,</w:t>
      </w:r>
      <w:r w:rsidR="0057395F" w:rsidRPr="003427A6">
        <w:rPr>
          <w:rFonts w:ascii="Candara" w:hAnsi="Candara"/>
          <w:color w:val="0D0D0D" w:themeColor="text1" w:themeTint="F2"/>
        </w:rPr>
        <w:t xml:space="preserve"> and </w:t>
      </w:r>
      <w:r w:rsidRPr="003427A6">
        <w:rPr>
          <w:rFonts w:ascii="Candara" w:hAnsi="Candara"/>
          <w:color w:val="0D0D0D" w:themeColor="text1" w:themeTint="F2"/>
        </w:rPr>
        <w:t>increased hematopoiesis</w:t>
      </w:r>
      <w:r w:rsidR="0057395F" w:rsidRPr="003427A6">
        <w:rPr>
          <w:rFonts w:ascii="Candara" w:hAnsi="Candara"/>
          <w:color w:val="0D0D0D" w:themeColor="text1" w:themeTint="F2"/>
        </w:rPr>
        <w:t xml:space="preserve">.  A strong off-target effect of SGLT2i on the sodium–proton </w:t>
      </w:r>
      <w:r w:rsidR="00066A9E" w:rsidRPr="003427A6">
        <w:rPr>
          <w:rFonts w:ascii="Candara" w:hAnsi="Candara"/>
          <w:color w:val="0D0D0D" w:themeColor="text1" w:themeTint="F2"/>
        </w:rPr>
        <w:t>antiporter (</w:t>
      </w:r>
      <w:r w:rsidR="0057395F" w:rsidRPr="003427A6">
        <w:rPr>
          <w:rFonts w:ascii="Candara" w:hAnsi="Candara"/>
          <w:color w:val="0D0D0D" w:themeColor="text1" w:themeTint="F2"/>
        </w:rPr>
        <w:t>exchanger</w:t>
      </w:r>
      <w:r w:rsidR="00066A9E" w:rsidRPr="003427A6">
        <w:rPr>
          <w:rFonts w:ascii="Candara" w:hAnsi="Candara"/>
          <w:color w:val="0D0D0D" w:themeColor="text1" w:themeTint="F2"/>
        </w:rPr>
        <w:t>)</w:t>
      </w:r>
      <w:r w:rsidR="0057395F" w:rsidRPr="003427A6">
        <w:rPr>
          <w:rFonts w:ascii="Candara" w:hAnsi="Candara"/>
          <w:color w:val="0D0D0D" w:themeColor="text1" w:themeTint="F2"/>
        </w:rPr>
        <w:t xml:space="preserve"> on the cell surface and intracellular organelles explains the </w:t>
      </w:r>
      <w:r w:rsidR="00E8605A" w:rsidRPr="003427A6">
        <w:rPr>
          <w:rFonts w:ascii="Candara" w:hAnsi="Candara"/>
          <w:color w:val="0D0D0D" w:themeColor="text1" w:themeTint="F2"/>
        </w:rPr>
        <w:t>wide-ranging</w:t>
      </w:r>
      <w:r w:rsidR="0057395F" w:rsidRPr="003427A6">
        <w:rPr>
          <w:rFonts w:ascii="Candara" w:hAnsi="Candara"/>
          <w:color w:val="0D0D0D" w:themeColor="text1" w:themeTint="F2"/>
        </w:rPr>
        <w:t xml:space="preserve"> effects of these agents.  By slowing the restoration of pH within cells, SGLT2</w:t>
      </w:r>
      <w:r w:rsidR="00E8605A" w:rsidRPr="003427A6">
        <w:rPr>
          <w:rFonts w:ascii="Candara" w:hAnsi="Candara"/>
          <w:color w:val="0D0D0D" w:themeColor="text1" w:themeTint="F2"/>
        </w:rPr>
        <w:t>i activate</w:t>
      </w:r>
      <w:r w:rsidR="0057395F" w:rsidRPr="003427A6">
        <w:rPr>
          <w:rFonts w:ascii="Candara" w:hAnsi="Candara"/>
          <w:color w:val="0D0D0D" w:themeColor="text1" w:themeTint="F2"/>
        </w:rPr>
        <w:t xml:space="preserve"> secondary processes </w:t>
      </w:r>
      <w:r w:rsidR="00066A9E" w:rsidRPr="003427A6">
        <w:rPr>
          <w:rFonts w:ascii="Candara" w:hAnsi="Candara"/>
          <w:color w:val="0D0D0D" w:themeColor="text1" w:themeTint="F2"/>
        </w:rPr>
        <w:t xml:space="preserve">that mimic </w:t>
      </w:r>
      <w:r w:rsidR="0057395F" w:rsidRPr="003427A6">
        <w:rPr>
          <w:rFonts w:ascii="Candara" w:hAnsi="Candara"/>
          <w:color w:val="0D0D0D" w:themeColor="text1" w:themeTint="F2"/>
        </w:rPr>
        <w:t>ischemi</w:t>
      </w:r>
      <w:r w:rsidR="009B6AEA" w:rsidRPr="003427A6">
        <w:rPr>
          <w:rFonts w:ascii="Candara" w:hAnsi="Candara"/>
          <w:color w:val="0D0D0D" w:themeColor="text1" w:themeTint="F2"/>
        </w:rPr>
        <w:t>c</w:t>
      </w:r>
      <w:r w:rsidR="0057395F" w:rsidRPr="003427A6">
        <w:rPr>
          <w:rFonts w:ascii="Candara" w:hAnsi="Candara"/>
          <w:color w:val="0D0D0D" w:themeColor="text1" w:themeTint="F2"/>
        </w:rPr>
        <w:t xml:space="preserve"> preconditioning in the heart and kidney</w:t>
      </w:r>
      <w:r w:rsidR="009B6AEA" w:rsidRPr="003427A6">
        <w:rPr>
          <w:rFonts w:ascii="Candara" w:hAnsi="Candara"/>
          <w:color w:val="0D0D0D" w:themeColor="text1" w:themeTint="F2"/>
        </w:rPr>
        <w:t xml:space="preserve"> and</w:t>
      </w:r>
      <w:r w:rsidR="0057395F" w:rsidRPr="003427A6">
        <w:rPr>
          <w:rFonts w:ascii="Candara" w:hAnsi="Candara"/>
          <w:color w:val="0D0D0D" w:themeColor="text1" w:themeTint="F2"/>
        </w:rPr>
        <w:t xml:space="preserve"> increased hematopoiesis in bone marrow which </w:t>
      </w:r>
      <w:r w:rsidR="009B6AEA" w:rsidRPr="003427A6">
        <w:rPr>
          <w:rFonts w:ascii="Candara" w:hAnsi="Candara"/>
          <w:color w:val="0D0D0D" w:themeColor="text1" w:themeTint="F2"/>
        </w:rPr>
        <w:t xml:space="preserve">would </w:t>
      </w:r>
      <w:r w:rsidR="0057395F" w:rsidRPr="003427A6">
        <w:rPr>
          <w:rFonts w:ascii="Candara" w:hAnsi="Candara"/>
          <w:color w:val="0D0D0D" w:themeColor="text1" w:themeTint="F2"/>
        </w:rPr>
        <w:t>explain salutary effects.  Conversely, the inability to rapidly recover pH in ischemic peripheral tissues explain</w:t>
      </w:r>
      <w:r w:rsidR="009B6AEA" w:rsidRPr="003427A6">
        <w:rPr>
          <w:rFonts w:ascii="Candara" w:hAnsi="Candara"/>
          <w:color w:val="0D0D0D" w:themeColor="text1" w:themeTint="F2"/>
        </w:rPr>
        <w:t>s</w:t>
      </w:r>
      <w:r w:rsidR="0057395F" w:rsidRPr="003427A6">
        <w:rPr>
          <w:rFonts w:ascii="Candara" w:hAnsi="Candara"/>
          <w:color w:val="0D0D0D" w:themeColor="text1" w:themeTint="F2"/>
        </w:rPr>
        <w:t xml:space="preserve"> the progression of diabetic extremity ulcers, gangrene, propensity for metabolic bone disease</w:t>
      </w:r>
      <w:r w:rsidR="009B6AEA" w:rsidRPr="003427A6">
        <w:rPr>
          <w:rFonts w:ascii="Candara" w:hAnsi="Candara"/>
          <w:color w:val="0D0D0D" w:themeColor="text1" w:themeTint="F2"/>
        </w:rPr>
        <w:t>, a</w:t>
      </w:r>
      <w:r w:rsidR="0057395F" w:rsidRPr="003427A6">
        <w:rPr>
          <w:rFonts w:ascii="Candara" w:hAnsi="Candara"/>
          <w:color w:val="0D0D0D" w:themeColor="text1" w:themeTint="F2"/>
        </w:rPr>
        <w:t xml:space="preserve">nd diabetic ketoacidosis in patients who are predisposed.   This paper will review the evidence for the strong off-target effect of SGLT2i on the sodium-proton exchanger and </w:t>
      </w:r>
      <w:r w:rsidR="009B6AEA" w:rsidRPr="003427A6">
        <w:rPr>
          <w:rFonts w:ascii="Candara" w:hAnsi="Candara"/>
          <w:color w:val="0D0D0D" w:themeColor="text1" w:themeTint="F2"/>
        </w:rPr>
        <w:t>its potential effect on the organ systems and processes in which SGLT2i appear to have activity.</w:t>
      </w:r>
    </w:p>
    <w:p w14:paraId="2793E149" w14:textId="77777777" w:rsidR="009B6AEA" w:rsidRPr="003427A6" w:rsidRDefault="009B6AEA" w:rsidP="0057395F">
      <w:pPr>
        <w:spacing w:line="360" w:lineRule="auto"/>
        <w:rPr>
          <w:rFonts w:ascii="Candara" w:hAnsi="Candara"/>
          <w:color w:val="0D0D0D" w:themeColor="text1" w:themeTint="F2"/>
        </w:rPr>
      </w:pPr>
    </w:p>
    <w:p w14:paraId="5D7AB91A" w14:textId="45DB705E" w:rsidR="00774844" w:rsidRPr="003427A6" w:rsidRDefault="00882E0A" w:rsidP="008215FC">
      <w:pPr>
        <w:spacing w:line="360" w:lineRule="auto"/>
        <w:rPr>
          <w:rFonts w:ascii="Candara" w:hAnsi="Candara"/>
          <w:color w:val="0D0D0D" w:themeColor="text1" w:themeTint="F2"/>
        </w:rPr>
      </w:pPr>
      <w:r w:rsidRPr="003427A6">
        <w:rPr>
          <w:rFonts w:ascii="Candara" w:hAnsi="Candara"/>
          <w:b/>
          <w:color w:val="0D0D0D" w:themeColor="text1" w:themeTint="F2"/>
        </w:rPr>
        <w:t>Keywords:</w:t>
      </w:r>
      <w:r w:rsidR="00A03648" w:rsidRPr="003427A6">
        <w:rPr>
          <w:rFonts w:ascii="Candara" w:hAnsi="Candara"/>
          <w:color w:val="0D0D0D" w:themeColor="text1" w:themeTint="F2"/>
        </w:rPr>
        <w:t xml:space="preserve"> SGLT-2 inhibitor</w:t>
      </w:r>
      <w:r w:rsidR="009B6AEA" w:rsidRPr="003427A6">
        <w:rPr>
          <w:rFonts w:ascii="Candara" w:hAnsi="Candara"/>
          <w:color w:val="0D0D0D" w:themeColor="text1" w:themeTint="F2"/>
        </w:rPr>
        <w:t>, sodium-proton exchanger, sodium-hydrogen exchanger,</w:t>
      </w:r>
      <w:r w:rsidRPr="003427A6">
        <w:rPr>
          <w:rFonts w:ascii="Candara" w:hAnsi="Candara"/>
          <w:color w:val="0D0D0D" w:themeColor="text1" w:themeTint="F2"/>
        </w:rPr>
        <w:t xml:space="preserve"> empagliflozin</w:t>
      </w:r>
      <w:r w:rsidR="009B6AEA" w:rsidRPr="003427A6">
        <w:rPr>
          <w:rFonts w:ascii="Candara" w:hAnsi="Candara"/>
          <w:color w:val="0D0D0D" w:themeColor="text1" w:themeTint="F2"/>
        </w:rPr>
        <w:t xml:space="preserve">, canagliflozin, dapagliflozin, ertugliflozin, </w:t>
      </w:r>
      <w:r w:rsidR="00E8605A" w:rsidRPr="003427A6">
        <w:rPr>
          <w:rFonts w:ascii="Candara" w:hAnsi="Candara"/>
          <w:color w:val="0D0D0D" w:themeColor="text1" w:themeTint="F2"/>
        </w:rPr>
        <w:t>sotagliflozin</w:t>
      </w:r>
      <w:r w:rsidR="00C5008F" w:rsidRPr="003427A6">
        <w:rPr>
          <w:rFonts w:ascii="Candara" w:hAnsi="Candara"/>
          <w:color w:val="0D0D0D" w:themeColor="text1" w:themeTint="F2"/>
        </w:rPr>
        <w:t>, cardiovascular disease, chronic kidney disease, adverse effects</w:t>
      </w:r>
      <w:r w:rsidR="009B6AEA" w:rsidRPr="003427A6">
        <w:rPr>
          <w:rFonts w:ascii="Candara" w:hAnsi="Candara"/>
          <w:color w:val="0D0D0D" w:themeColor="text1" w:themeTint="F2"/>
        </w:rPr>
        <w:t xml:space="preserve">  </w:t>
      </w:r>
      <w:r w:rsidR="00774844" w:rsidRPr="003427A6">
        <w:rPr>
          <w:rFonts w:ascii="Candara" w:hAnsi="Candara"/>
          <w:color w:val="0D0D0D" w:themeColor="text1" w:themeTint="F2"/>
        </w:rPr>
        <w:br w:type="page"/>
      </w:r>
    </w:p>
    <w:p w14:paraId="3F1C7C0A" w14:textId="2E05FD5D" w:rsidR="00927597" w:rsidRPr="003427A6" w:rsidRDefault="00927597" w:rsidP="004C1AF9">
      <w:pPr>
        <w:spacing w:line="360" w:lineRule="auto"/>
        <w:rPr>
          <w:rFonts w:ascii="Candara" w:hAnsi="Candara"/>
          <w:b/>
          <w:color w:val="0D0D0D" w:themeColor="text1" w:themeTint="F2"/>
        </w:rPr>
      </w:pPr>
      <w:r w:rsidRPr="003427A6">
        <w:rPr>
          <w:rFonts w:ascii="Candara" w:hAnsi="Candara"/>
          <w:b/>
          <w:color w:val="0D0D0D" w:themeColor="text1" w:themeTint="F2"/>
        </w:rPr>
        <w:lastRenderedPageBreak/>
        <w:t>INTRODUCTION</w:t>
      </w:r>
    </w:p>
    <w:p w14:paraId="21A31B70" w14:textId="77777777" w:rsidR="00F0304D" w:rsidRPr="003427A6" w:rsidRDefault="00F0304D" w:rsidP="00262C5D">
      <w:pPr>
        <w:spacing w:line="360" w:lineRule="auto"/>
        <w:ind w:firstLine="720"/>
        <w:rPr>
          <w:rFonts w:ascii="Candara" w:hAnsi="Candara"/>
          <w:color w:val="0D0D0D" w:themeColor="text1" w:themeTint="F2"/>
        </w:rPr>
      </w:pPr>
    </w:p>
    <w:p w14:paraId="6A7A9A82" w14:textId="01554014" w:rsidR="00BE7765" w:rsidRPr="003427A6" w:rsidRDefault="009B6AEA" w:rsidP="00262C5D">
      <w:pPr>
        <w:spacing w:line="360" w:lineRule="auto"/>
        <w:ind w:firstLine="720"/>
        <w:rPr>
          <w:rFonts w:ascii="Candara" w:hAnsi="Candara"/>
        </w:rPr>
      </w:pPr>
      <w:r w:rsidRPr="003427A6">
        <w:rPr>
          <w:rFonts w:ascii="Candara" w:hAnsi="Candara"/>
          <w:color w:val="0D0D0D" w:themeColor="text1" w:themeTint="F2"/>
        </w:rPr>
        <w:t>Patients with type 2 diabetes mellitus</w:t>
      </w:r>
      <w:r w:rsidR="00A94325" w:rsidRPr="003427A6">
        <w:rPr>
          <w:rFonts w:ascii="Candara" w:hAnsi="Candara"/>
          <w:color w:val="0D0D0D" w:themeColor="text1" w:themeTint="F2"/>
        </w:rPr>
        <w:t xml:space="preserve"> (T2DM</w:t>
      </w:r>
      <w:r w:rsidR="006F7841" w:rsidRPr="003427A6">
        <w:rPr>
          <w:rFonts w:ascii="Candara" w:hAnsi="Candara"/>
          <w:color w:val="0D0D0D" w:themeColor="text1" w:themeTint="F2"/>
        </w:rPr>
        <w:t>)</w:t>
      </w:r>
      <w:r w:rsidR="00A94325" w:rsidRPr="003427A6">
        <w:rPr>
          <w:rFonts w:ascii="Candara" w:hAnsi="Candara"/>
          <w:color w:val="0D0D0D" w:themeColor="text1" w:themeTint="F2"/>
        </w:rPr>
        <w:t xml:space="preserve"> frequently develop</w:t>
      </w:r>
      <w:r w:rsidRPr="003427A6">
        <w:rPr>
          <w:rFonts w:ascii="Candara" w:hAnsi="Candara"/>
          <w:color w:val="0D0D0D" w:themeColor="text1" w:themeTint="F2"/>
        </w:rPr>
        <w:t xml:space="preserve"> cardiovascular and</w:t>
      </w:r>
      <w:r w:rsidR="00FB6ED4" w:rsidRPr="003427A6">
        <w:rPr>
          <w:rFonts w:ascii="Candara" w:hAnsi="Candara"/>
          <w:color w:val="0D0D0D" w:themeColor="text1" w:themeTint="F2"/>
        </w:rPr>
        <w:t xml:space="preserve"> </w:t>
      </w:r>
      <w:r w:rsidR="006F7841" w:rsidRPr="003427A6">
        <w:rPr>
          <w:rFonts w:ascii="Candara" w:hAnsi="Candara"/>
          <w:color w:val="0D0D0D" w:themeColor="text1" w:themeTint="F2"/>
        </w:rPr>
        <w:t>and/</w:t>
      </w:r>
      <w:r w:rsidR="00FB6ED4" w:rsidRPr="003427A6">
        <w:rPr>
          <w:rFonts w:ascii="Candara" w:hAnsi="Candara"/>
          <w:color w:val="0D0D0D" w:themeColor="text1" w:themeTint="F2"/>
        </w:rPr>
        <w:t>or</w:t>
      </w:r>
      <w:r w:rsidRPr="003427A6">
        <w:rPr>
          <w:rFonts w:ascii="Candara" w:hAnsi="Candara"/>
          <w:color w:val="0D0D0D" w:themeColor="text1" w:themeTint="F2"/>
        </w:rPr>
        <w:t xml:space="preserve"> kidney disease</w:t>
      </w:r>
      <w:r w:rsidR="00A94325" w:rsidRPr="003427A6">
        <w:rPr>
          <w:rFonts w:ascii="Candara" w:hAnsi="Candara"/>
          <w:color w:val="0D0D0D" w:themeColor="text1" w:themeTint="F2"/>
        </w:rPr>
        <w:t xml:space="preserve">. </w:t>
      </w:r>
      <w:r w:rsidR="00A94325" w:rsidRPr="003427A6">
        <w:rPr>
          <w:rStyle w:val="af8"/>
          <w:rFonts w:ascii="Candara" w:hAnsi="Candara"/>
          <w:color w:val="0D0D0D" w:themeColor="text1" w:themeTint="F2"/>
        </w:rPr>
        <w:endnoteReference w:id="1"/>
      </w:r>
      <w:r w:rsidR="00A94325" w:rsidRPr="003427A6">
        <w:rPr>
          <w:rFonts w:ascii="Candara" w:hAnsi="Candara"/>
          <w:color w:val="0D0D0D" w:themeColor="text1" w:themeTint="F2"/>
        </w:rPr>
        <w:t xml:space="preserve"> </w:t>
      </w:r>
      <w:r w:rsidR="00A94325" w:rsidRPr="003427A6">
        <w:rPr>
          <w:rStyle w:val="af8"/>
          <w:rFonts w:ascii="Candara" w:hAnsi="Candara"/>
          <w:color w:val="0D0D0D" w:themeColor="text1" w:themeTint="F2"/>
        </w:rPr>
        <w:endnoteReference w:id="2"/>
      </w:r>
      <w:r w:rsidR="00A94325" w:rsidRPr="003427A6">
        <w:rPr>
          <w:rFonts w:ascii="Candara" w:hAnsi="Candara"/>
          <w:color w:val="0D0D0D" w:themeColor="text1" w:themeTint="F2"/>
        </w:rPr>
        <w:t xml:space="preserve"> </w:t>
      </w:r>
      <w:r w:rsidR="00BB3654" w:rsidRPr="003427A6">
        <w:rPr>
          <w:rFonts w:ascii="Candara" w:hAnsi="Candara"/>
          <w:color w:val="0D0D0D" w:themeColor="text1" w:themeTint="F2"/>
        </w:rPr>
        <w:t xml:space="preserve">The deleterious effects of </w:t>
      </w:r>
      <w:r w:rsidR="00A95B5F" w:rsidRPr="003427A6">
        <w:rPr>
          <w:rFonts w:ascii="Candara" w:hAnsi="Candara"/>
          <w:color w:val="0D0D0D" w:themeColor="text1" w:themeTint="F2"/>
        </w:rPr>
        <w:t>T2</w:t>
      </w:r>
      <w:r w:rsidR="00BB3654" w:rsidRPr="003427A6">
        <w:rPr>
          <w:rFonts w:ascii="Candara" w:hAnsi="Candara"/>
          <w:color w:val="0D0D0D" w:themeColor="text1" w:themeTint="F2"/>
        </w:rPr>
        <w:t xml:space="preserve">DM </w:t>
      </w:r>
      <w:r w:rsidR="00A94325" w:rsidRPr="003427A6">
        <w:rPr>
          <w:rFonts w:ascii="Candara" w:hAnsi="Candara"/>
          <w:color w:val="0D0D0D" w:themeColor="text1" w:themeTint="F2"/>
        </w:rPr>
        <w:t xml:space="preserve">have been described as </w:t>
      </w:r>
      <w:r w:rsidR="00BB3654" w:rsidRPr="003427A6">
        <w:rPr>
          <w:rFonts w:ascii="Candara" w:hAnsi="Candara"/>
          <w:color w:val="0D0D0D" w:themeColor="text1" w:themeTint="F2"/>
        </w:rPr>
        <w:t>microvascular (neuropathy, nephropathy, retinopathy) and macrovascular (coronary disease, stroke, peripheral arterial disease).</w:t>
      </w:r>
      <w:r w:rsidR="00A94325" w:rsidRPr="003427A6">
        <w:rPr>
          <w:rStyle w:val="af8"/>
          <w:rFonts w:ascii="Candara" w:hAnsi="Candara"/>
          <w:color w:val="0D0D0D" w:themeColor="text1" w:themeTint="F2"/>
        </w:rPr>
        <w:endnoteReference w:id="3"/>
      </w:r>
      <w:r w:rsidR="00A94325" w:rsidRPr="003427A6">
        <w:rPr>
          <w:rFonts w:ascii="Candara" w:hAnsi="Candara"/>
          <w:color w:val="0D0D0D" w:themeColor="text1" w:themeTint="F2"/>
        </w:rPr>
        <w:t xml:space="preserve">  </w:t>
      </w:r>
      <w:r w:rsidR="00FB6ED4" w:rsidRPr="003427A6">
        <w:rPr>
          <w:rFonts w:ascii="Candara" w:hAnsi="Candara"/>
          <w:color w:val="0D0D0D" w:themeColor="text1" w:themeTint="F2"/>
        </w:rPr>
        <w:t>In recent decades, T2DM has been described as an independent risk factor for the two major phenotypes of heart failure</w:t>
      </w:r>
      <w:r w:rsidR="00927597" w:rsidRPr="003427A6">
        <w:rPr>
          <w:rFonts w:ascii="Candara" w:hAnsi="Candara"/>
          <w:color w:val="0D0D0D" w:themeColor="text1" w:themeTint="F2"/>
        </w:rPr>
        <w:t xml:space="preserve"> (HF)</w:t>
      </w:r>
      <w:r w:rsidR="00FB6ED4" w:rsidRPr="003427A6">
        <w:rPr>
          <w:rFonts w:ascii="Candara" w:hAnsi="Candara"/>
          <w:color w:val="0D0D0D" w:themeColor="text1" w:themeTint="F2"/>
        </w:rPr>
        <w:t>—preserved and reduced ejection fraction.</w:t>
      </w:r>
      <w:r w:rsidR="00FB6ED4" w:rsidRPr="003427A6">
        <w:rPr>
          <w:rStyle w:val="af8"/>
          <w:rFonts w:ascii="Candara" w:hAnsi="Candara"/>
          <w:color w:val="0D0D0D" w:themeColor="text1" w:themeTint="F2"/>
        </w:rPr>
        <w:endnoteReference w:id="4"/>
      </w:r>
      <w:r w:rsidR="00FB6ED4" w:rsidRPr="003427A6">
        <w:rPr>
          <w:rFonts w:ascii="Candara" w:hAnsi="Candara"/>
          <w:color w:val="0D0D0D" w:themeColor="text1" w:themeTint="F2"/>
        </w:rPr>
        <w:t xml:space="preserve"> </w:t>
      </w:r>
      <w:r w:rsidR="00FB6ED4" w:rsidRPr="003427A6">
        <w:rPr>
          <w:rStyle w:val="af8"/>
          <w:rFonts w:ascii="Candara" w:hAnsi="Candara"/>
          <w:color w:val="0D0D0D" w:themeColor="text1" w:themeTint="F2"/>
        </w:rPr>
        <w:endnoteReference w:id="5"/>
      </w:r>
      <w:r w:rsidR="00FB6ED4" w:rsidRPr="003427A6">
        <w:rPr>
          <w:rFonts w:ascii="Candara" w:hAnsi="Candara"/>
          <w:color w:val="0D0D0D" w:themeColor="text1" w:themeTint="F2"/>
        </w:rPr>
        <w:t xml:space="preserve">  </w:t>
      </w:r>
      <w:r w:rsidR="00FB6ED4" w:rsidRPr="003427A6">
        <w:rPr>
          <w:rStyle w:val="af8"/>
          <w:rFonts w:ascii="Candara" w:hAnsi="Candara"/>
          <w:color w:val="0D0D0D" w:themeColor="text1" w:themeTint="F2"/>
        </w:rPr>
        <w:endnoteReference w:id="6"/>
      </w:r>
      <w:r w:rsidR="00FB6ED4" w:rsidRPr="003427A6">
        <w:rPr>
          <w:rFonts w:ascii="Candara" w:hAnsi="Candara"/>
          <w:color w:val="0D0D0D" w:themeColor="text1" w:themeTint="F2"/>
        </w:rPr>
        <w:t xml:space="preserve">  </w:t>
      </w:r>
      <w:r w:rsidR="00F92265" w:rsidRPr="003427A6">
        <w:rPr>
          <w:rStyle w:val="af8"/>
          <w:rFonts w:ascii="Candara" w:hAnsi="Candara"/>
          <w:color w:val="0D0D0D" w:themeColor="text1" w:themeTint="F2"/>
        </w:rPr>
        <w:endnoteReference w:id="7"/>
      </w:r>
      <w:r w:rsidR="00F92265" w:rsidRPr="003427A6">
        <w:rPr>
          <w:rFonts w:ascii="Candara" w:hAnsi="Candara"/>
          <w:color w:val="0D0D0D" w:themeColor="text1" w:themeTint="F2"/>
        </w:rPr>
        <w:t xml:space="preserve">  </w:t>
      </w:r>
      <w:r w:rsidR="006F7841" w:rsidRPr="003427A6">
        <w:rPr>
          <w:rFonts w:ascii="Candara" w:hAnsi="Candara"/>
          <w:color w:val="0D0D0D" w:themeColor="text1" w:themeTint="F2"/>
        </w:rPr>
        <w:t>Further, it</w:t>
      </w:r>
      <w:r w:rsidR="00F92265" w:rsidRPr="003427A6">
        <w:rPr>
          <w:rFonts w:ascii="Candara" w:hAnsi="Candara"/>
          <w:color w:val="0D0D0D" w:themeColor="text1" w:themeTint="F2"/>
        </w:rPr>
        <w:t xml:space="preserve"> is associated with a four-fold increase in the rate of HF hospitalizations compared to those without T2DM.</w:t>
      </w:r>
      <w:r w:rsidR="00F92265" w:rsidRPr="003427A6">
        <w:rPr>
          <w:rStyle w:val="af8"/>
          <w:rFonts w:ascii="Candara" w:hAnsi="Candara"/>
          <w:color w:val="0D0D0D" w:themeColor="text1" w:themeTint="F2"/>
        </w:rPr>
        <w:endnoteReference w:id="8"/>
      </w:r>
      <w:r w:rsidR="00F92265" w:rsidRPr="003427A6">
        <w:rPr>
          <w:rFonts w:ascii="Candara" w:hAnsi="Candara"/>
          <w:color w:val="0D0D0D" w:themeColor="text1" w:themeTint="F2"/>
        </w:rPr>
        <w:t xml:space="preserve"> </w:t>
      </w:r>
      <w:r w:rsidR="00A94325" w:rsidRPr="003427A6">
        <w:rPr>
          <w:rFonts w:ascii="Candara" w:hAnsi="Candara"/>
          <w:color w:val="0D0D0D" w:themeColor="text1" w:themeTint="F2"/>
        </w:rPr>
        <w:t>T2DM is also associated with non-healing lower extremity wounds such as foot ulcers, deep tissue osteomyelitis, metabolic bone disease, anemia,</w:t>
      </w:r>
      <w:r w:rsidR="00FB6ED4" w:rsidRPr="003427A6">
        <w:rPr>
          <w:rFonts w:ascii="Candara" w:hAnsi="Candara"/>
          <w:color w:val="0D0D0D" w:themeColor="text1" w:themeTint="F2"/>
        </w:rPr>
        <w:t xml:space="preserve"> pancreatitis,</w:t>
      </w:r>
      <w:r w:rsidR="00A94325" w:rsidRPr="003427A6">
        <w:rPr>
          <w:rFonts w:ascii="Candara" w:hAnsi="Candara"/>
          <w:color w:val="0D0D0D" w:themeColor="text1" w:themeTint="F2"/>
        </w:rPr>
        <w:t xml:space="preserve"> and </w:t>
      </w:r>
      <w:r w:rsidR="00066A9E" w:rsidRPr="003427A6">
        <w:rPr>
          <w:rFonts w:ascii="Candara" w:hAnsi="Candara"/>
          <w:color w:val="0D0D0D" w:themeColor="text1" w:themeTint="F2"/>
        </w:rPr>
        <w:t>in advanced insulinopenic patients--</w:t>
      </w:r>
      <w:r w:rsidR="00A94325" w:rsidRPr="003427A6">
        <w:rPr>
          <w:rFonts w:ascii="Candara" w:hAnsi="Candara"/>
          <w:color w:val="0D0D0D" w:themeColor="text1" w:themeTint="F2"/>
        </w:rPr>
        <w:t>diabetic ketoacidosis</w:t>
      </w:r>
      <w:r w:rsidR="00AE4144" w:rsidRPr="003427A6">
        <w:rPr>
          <w:rFonts w:ascii="Candara" w:hAnsi="Candara"/>
          <w:color w:val="0D0D0D" w:themeColor="text1" w:themeTint="F2"/>
        </w:rPr>
        <w:t xml:space="preserve"> (DKA)</w:t>
      </w:r>
      <w:r w:rsidR="00A94325" w:rsidRPr="003427A6">
        <w:rPr>
          <w:rFonts w:ascii="Candara" w:hAnsi="Candara"/>
          <w:color w:val="0D0D0D" w:themeColor="text1" w:themeTint="F2"/>
        </w:rPr>
        <w:t>.</w:t>
      </w:r>
      <w:r w:rsidR="00A94325" w:rsidRPr="003427A6">
        <w:rPr>
          <w:rStyle w:val="af8"/>
          <w:rFonts w:ascii="Candara" w:hAnsi="Candara"/>
          <w:color w:val="0D0D0D" w:themeColor="text1" w:themeTint="F2"/>
        </w:rPr>
        <w:endnoteReference w:id="9"/>
      </w:r>
      <w:r w:rsidR="00A94325" w:rsidRPr="003427A6">
        <w:rPr>
          <w:rFonts w:ascii="Candara" w:hAnsi="Candara"/>
          <w:color w:val="0D0D0D" w:themeColor="text1" w:themeTint="F2"/>
        </w:rPr>
        <w:t xml:space="preserve"> </w:t>
      </w:r>
      <w:r w:rsidR="00A94325" w:rsidRPr="003427A6">
        <w:rPr>
          <w:rStyle w:val="af8"/>
          <w:rFonts w:ascii="Candara" w:hAnsi="Candara"/>
          <w:color w:val="0D0D0D" w:themeColor="text1" w:themeTint="F2"/>
        </w:rPr>
        <w:endnoteReference w:id="10"/>
      </w:r>
      <w:r w:rsidR="00431D02" w:rsidRPr="003427A6">
        <w:rPr>
          <w:rFonts w:ascii="Candara" w:hAnsi="Candara"/>
          <w:color w:val="0D0D0D" w:themeColor="text1" w:themeTint="F2"/>
        </w:rPr>
        <w:t xml:space="preserve"> </w:t>
      </w:r>
      <w:r w:rsidR="00431D02" w:rsidRPr="003427A6">
        <w:rPr>
          <w:rStyle w:val="af8"/>
          <w:rFonts w:ascii="Candara" w:hAnsi="Candara"/>
          <w:color w:val="0D0D0D" w:themeColor="text1" w:themeTint="F2"/>
        </w:rPr>
        <w:endnoteReference w:id="11"/>
      </w:r>
      <w:r w:rsidR="00A94325" w:rsidRPr="003427A6">
        <w:rPr>
          <w:rFonts w:ascii="Candara" w:hAnsi="Candara"/>
          <w:color w:val="0D0D0D" w:themeColor="text1" w:themeTint="F2"/>
        </w:rPr>
        <w:t xml:space="preserve"> </w:t>
      </w:r>
    </w:p>
    <w:p w14:paraId="4A241D86" w14:textId="6A83B619" w:rsidR="00B2587F" w:rsidRPr="003427A6" w:rsidRDefault="00FB6ED4" w:rsidP="00FC4CE1">
      <w:pPr>
        <w:spacing w:line="360" w:lineRule="auto"/>
        <w:ind w:firstLine="720"/>
        <w:rPr>
          <w:rFonts w:ascii="Candara" w:hAnsi="Candara"/>
          <w:color w:val="0D0D0D" w:themeColor="text1" w:themeTint="F2"/>
        </w:rPr>
      </w:pPr>
      <w:r w:rsidRPr="003427A6">
        <w:rPr>
          <w:rFonts w:ascii="Candara" w:hAnsi="Candara"/>
          <w:color w:val="0D0D0D" w:themeColor="text1" w:themeTint="F2"/>
        </w:rPr>
        <w:t xml:space="preserve">The treatments for T2DM have been </w:t>
      </w:r>
      <w:r w:rsidR="00E8605A" w:rsidRPr="003427A6">
        <w:rPr>
          <w:rFonts w:ascii="Candara" w:hAnsi="Candara"/>
          <w:color w:val="0D0D0D" w:themeColor="text1" w:themeTint="F2"/>
        </w:rPr>
        <w:t>scrutinized</w:t>
      </w:r>
      <w:r w:rsidRPr="003427A6">
        <w:rPr>
          <w:rFonts w:ascii="Candara" w:hAnsi="Candara"/>
          <w:color w:val="0D0D0D" w:themeColor="text1" w:themeTint="F2"/>
        </w:rPr>
        <w:t xml:space="preserve"> for their </w:t>
      </w:r>
      <w:r w:rsidR="00203B11" w:rsidRPr="003427A6">
        <w:rPr>
          <w:rFonts w:ascii="Candara" w:hAnsi="Candara"/>
          <w:color w:val="0D0D0D" w:themeColor="text1" w:themeTint="F2"/>
        </w:rPr>
        <w:t xml:space="preserve">independent </w:t>
      </w:r>
      <w:r w:rsidRPr="003427A6">
        <w:rPr>
          <w:rFonts w:ascii="Candara" w:hAnsi="Candara"/>
          <w:color w:val="0D0D0D" w:themeColor="text1" w:themeTint="F2"/>
        </w:rPr>
        <w:t>link to organ system diseases above and beyond the risk of T2DM.</w:t>
      </w:r>
      <w:r w:rsidR="00F1186B" w:rsidRPr="003427A6">
        <w:rPr>
          <w:rFonts w:ascii="Candara" w:hAnsi="Candara"/>
          <w:color w:val="0D0D0D" w:themeColor="text1" w:themeTint="F2"/>
        </w:rPr>
        <w:t xml:space="preserve">  </w:t>
      </w:r>
      <w:r w:rsidR="00203B11" w:rsidRPr="003427A6">
        <w:rPr>
          <w:rFonts w:ascii="Candara" w:hAnsi="Candara"/>
          <w:color w:val="0D0D0D" w:themeColor="text1" w:themeTint="F2"/>
        </w:rPr>
        <w:t>Thiazolidinediones h</w:t>
      </w:r>
      <w:r w:rsidR="000C7DB1" w:rsidRPr="003427A6">
        <w:rPr>
          <w:rFonts w:ascii="Candara" w:hAnsi="Candara"/>
          <w:color w:val="0D0D0D" w:themeColor="text1" w:themeTint="F2"/>
        </w:rPr>
        <w:t xml:space="preserve">ave been associated with </w:t>
      </w:r>
      <w:bookmarkStart w:id="3" w:name="_Hlk535668668"/>
      <w:r w:rsidR="000C7DB1" w:rsidRPr="003427A6">
        <w:rPr>
          <w:rFonts w:ascii="Candara" w:hAnsi="Candara"/>
          <w:color w:val="0D0D0D" w:themeColor="text1" w:themeTint="F2"/>
        </w:rPr>
        <w:t xml:space="preserve">worsening edema and increased risk for </w:t>
      </w:r>
      <w:r w:rsidR="002E57EC" w:rsidRPr="003427A6">
        <w:rPr>
          <w:rFonts w:ascii="Candara" w:hAnsi="Candara"/>
          <w:color w:val="0D0D0D" w:themeColor="text1" w:themeTint="F2"/>
        </w:rPr>
        <w:t>HF</w:t>
      </w:r>
      <w:r w:rsidR="000C7DB1" w:rsidRPr="003427A6">
        <w:rPr>
          <w:rFonts w:ascii="Candara" w:hAnsi="Candara"/>
          <w:color w:val="0D0D0D" w:themeColor="text1" w:themeTint="F2"/>
        </w:rPr>
        <w:t xml:space="preserve"> hospitalization</w:t>
      </w:r>
      <w:r w:rsidR="008C4178" w:rsidRPr="003427A6">
        <w:rPr>
          <w:rFonts w:ascii="Candara" w:hAnsi="Candara"/>
          <w:color w:val="0D0D0D" w:themeColor="text1" w:themeTint="F2"/>
        </w:rPr>
        <w:t xml:space="preserve">, </w:t>
      </w:r>
      <w:r w:rsidR="000C7DB1" w:rsidRPr="003427A6">
        <w:rPr>
          <w:rFonts w:ascii="Candara" w:hAnsi="Candara"/>
          <w:color w:val="0D0D0D" w:themeColor="text1" w:themeTint="F2"/>
        </w:rPr>
        <w:t>cardiovascular death</w:t>
      </w:r>
      <w:r w:rsidR="008C4178" w:rsidRPr="003427A6">
        <w:rPr>
          <w:rFonts w:ascii="Candara" w:hAnsi="Candara"/>
          <w:color w:val="0D0D0D" w:themeColor="text1" w:themeTint="F2"/>
        </w:rPr>
        <w:t>, but not all-cause mortality</w:t>
      </w:r>
      <w:bookmarkEnd w:id="3"/>
      <w:r w:rsidR="000C7DB1" w:rsidRPr="003427A6">
        <w:rPr>
          <w:rFonts w:ascii="Candara" w:hAnsi="Candara"/>
          <w:color w:val="0D0D0D" w:themeColor="text1" w:themeTint="F2"/>
        </w:rPr>
        <w:t>.</w:t>
      </w:r>
      <w:r w:rsidR="000C7DB1" w:rsidRPr="003427A6">
        <w:rPr>
          <w:rStyle w:val="af8"/>
          <w:rFonts w:ascii="Candara" w:hAnsi="Candara"/>
          <w:color w:val="0D0D0D" w:themeColor="text1" w:themeTint="F2"/>
        </w:rPr>
        <w:endnoteReference w:id="12"/>
      </w:r>
      <w:r w:rsidR="00203B11" w:rsidRPr="003427A6">
        <w:rPr>
          <w:rFonts w:ascii="Candara" w:hAnsi="Candara"/>
          <w:color w:val="0D0D0D" w:themeColor="text1" w:themeTint="F2"/>
        </w:rPr>
        <w:t xml:space="preserve"> </w:t>
      </w:r>
      <w:r w:rsidR="00203B11" w:rsidRPr="003427A6">
        <w:rPr>
          <w:rStyle w:val="af8"/>
          <w:rFonts w:ascii="Candara" w:hAnsi="Candara"/>
          <w:color w:val="0D0D0D" w:themeColor="text1" w:themeTint="F2"/>
        </w:rPr>
        <w:endnoteReference w:id="13"/>
      </w:r>
      <w:r w:rsidR="00203B11" w:rsidRPr="003427A6">
        <w:rPr>
          <w:rFonts w:ascii="Candara" w:hAnsi="Candara"/>
          <w:color w:val="0D0D0D" w:themeColor="text1" w:themeTint="F2"/>
        </w:rPr>
        <w:t xml:space="preserve"> </w:t>
      </w:r>
      <w:r w:rsidR="00203B11" w:rsidRPr="003427A6">
        <w:rPr>
          <w:rStyle w:val="af8"/>
          <w:rFonts w:ascii="Candara" w:hAnsi="Candara"/>
          <w:color w:val="0D0D0D" w:themeColor="text1" w:themeTint="F2"/>
        </w:rPr>
        <w:endnoteReference w:id="14"/>
      </w:r>
      <w:r w:rsidR="006A001D" w:rsidRPr="003427A6">
        <w:rPr>
          <w:rFonts w:ascii="Candara" w:hAnsi="Candara"/>
          <w:color w:val="0D0D0D" w:themeColor="text1" w:themeTint="F2"/>
        </w:rPr>
        <w:t xml:space="preserve">  </w:t>
      </w:r>
      <w:bookmarkStart w:id="4" w:name="_Hlk2488550"/>
      <w:r w:rsidR="00B7779A" w:rsidRPr="003427A6">
        <w:rPr>
          <w:rFonts w:ascii="Candara" w:hAnsi="Candara"/>
          <w:color w:val="0D0D0D" w:themeColor="text1" w:themeTint="F2"/>
        </w:rPr>
        <w:t>Oral sulfonylureas are mechanistically associated with hypoglycemia</w:t>
      </w:r>
      <w:r w:rsidR="00623475" w:rsidRPr="003427A6">
        <w:rPr>
          <w:rFonts w:ascii="Candara" w:hAnsi="Candara"/>
          <w:color w:val="0D0D0D" w:themeColor="text1" w:themeTint="F2"/>
        </w:rPr>
        <w:t xml:space="preserve"> and the catecholamine surge that occurs with it provoking </w:t>
      </w:r>
      <w:r w:rsidR="00B7779A" w:rsidRPr="003427A6">
        <w:rPr>
          <w:rFonts w:ascii="Candara" w:hAnsi="Candara"/>
          <w:color w:val="0D0D0D" w:themeColor="text1" w:themeTint="F2"/>
        </w:rPr>
        <w:t>myocardial infarction</w:t>
      </w:r>
      <w:r w:rsidR="00FE775B" w:rsidRPr="003427A6">
        <w:rPr>
          <w:rFonts w:ascii="Candara" w:hAnsi="Candara"/>
          <w:color w:val="0D0D0D" w:themeColor="text1" w:themeTint="F2"/>
        </w:rPr>
        <w:t xml:space="preserve"> (MI)</w:t>
      </w:r>
      <w:r w:rsidR="00B7779A" w:rsidRPr="003427A6">
        <w:rPr>
          <w:rFonts w:ascii="Candara" w:hAnsi="Candara"/>
          <w:color w:val="0D0D0D" w:themeColor="text1" w:themeTint="F2"/>
        </w:rPr>
        <w:t>, stroke, and cardiovascular death</w:t>
      </w:r>
      <w:bookmarkEnd w:id="4"/>
      <w:r w:rsidR="00B7779A" w:rsidRPr="003427A6">
        <w:rPr>
          <w:rFonts w:ascii="Candara" w:hAnsi="Candara"/>
          <w:color w:val="0D0D0D" w:themeColor="text1" w:themeTint="F2"/>
        </w:rPr>
        <w:t>.</w:t>
      </w:r>
      <w:r w:rsidR="00B7779A" w:rsidRPr="003427A6">
        <w:rPr>
          <w:rStyle w:val="af8"/>
          <w:rFonts w:ascii="Candara" w:hAnsi="Candara"/>
          <w:color w:val="0D0D0D" w:themeColor="text1" w:themeTint="F2"/>
        </w:rPr>
        <w:endnoteReference w:id="15"/>
      </w:r>
      <w:r w:rsidR="00B7779A" w:rsidRPr="003427A6">
        <w:rPr>
          <w:rFonts w:ascii="Candara" w:hAnsi="Candara"/>
          <w:color w:val="0D0D0D" w:themeColor="text1" w:themeTint="F2"/>
        </w:rPr>
        <w:t xml:space="preserve"> </w:t>
      </w:r>
      <w:r w:rsidR="00B7779A" w:rsidRPr="003427A6">
        <w:rPr>
          <w:rStyle w:val="af8"/>
          <w:rFonts w:ascii="Candara" w:hAnsi="Candara"/>
          <w:color w:val="0D0D0D" w:themeColor="text1" w:themeTint="F2"/>
        </w:rPr>
        <w:endnoteReference w:id="16"/>
      </w:r>
      <w:r w:rsidR="00B7779A" w:rsidRPr="003427A6">
        <w:rPr>
          <w:rFonts w:ascii="Candara" w:hAnsi="Candara"/>
          <w:color w:val="0D0D0D" w:themeColor="text1" w:themeTint="F2"/>
        </w:rPr>
        <w:t xml:space="preserve">  </w:t>
      </w:r>
      <w:r w:rsidR="00BB7AB6" w:rsidRPr="003427A6">
        <w:rPr>
          <w:rFonts w:ascii="Candara" w:hAnsi="Candara"/>
          <w:color w:val="0D0D0D" w:themeColor="text1" w:themeTint="F2"/>
        </w:rPr>
        <w:t xml:space="preserve">Other safety events associated with particular agents are disputed with additional analyses over time such as </w:t>
      </w:r>
      <w:r w:rsidR="00E8605A" w:rsidRPr="003427A6">
        <w:rPr>
          <w:rFonts w:ascii="Candara" w:hAnsi="Candara"/>
          <w:color w:val="0D0D0D" w:themeColor="text1" w:themeTint="F2"/>
        </w:rPr>
        <w:t>pancreatitis</w:t>
      </w:r>
      <w:r w:rsidR="00F86191" w:rsidRPr="003427A6">
        <w:rPr>
          <w:rFonts w:ascii="Candara" w:hAnsi="Candara"/>
          <w:color w:val="0D0D0D" w:themeColor="text1" w:themeTint="F2"/>
        </w:rPr>
        <w:t xml:space="preserve"> (originally associated with glucagon-like peptide-1 agonists)</w:t>
      </w:r>
      <w:r w:rsidR="00B7779A" w:rsidRPr="003427A6">
        <w:rPr>
          <w:rFonts w:ascii="Candara" w:hAnsi="Candara"/>
          <w:color w:val="0D0D0D" w:themeColor="text1" w:themeTint="F2"/>
        </w:rPr>
        <w:t xml:space="preserve"> and </w:t>
      </w:r>
      <w:r w:rsidR="002E57EC" w:rsidRPr="003427A6">
        <w:rPr>
          <w:rFonts w:ascii="Candara" w:hAnsi="Candara"/>
          <w:color w:val="0D0D0D" w:themeColor="text1" w:themeTint="F2"/>
        </w:rPr>
        <w:t>HF</w:t>
      </w:r>
      <w:r w:rsidR="00F86191" w:rsidRPr="003427A6">
        <w:rPr>
          <w:rFonts w:ascii="Candara" w:hAnsi="Candara"/>
          <w:color w:val="0D0D0D" w:themeColor="text1" w:themeTint="F2"/>
        </w:rPr>
        <w:t xml:space="preserve"> (originally associated with </w:t>
      </w:r>
      <w:r w:rsidR="00D057D6" w:rsidRPr="003427A6">
        <w:rPr>
          <w:rFonts w:ascii="Candara" w:hAnsi="Candara"/>
          <w:color w:val="0D0D0D" w:themeColor="text1" w:themeTint="F2"/>
        </w:rPr>
        <w:t xml:space="preserve">thiazolidinediones and </w:t>
      </w:r>
      <w:r w:rsidR="00F86191" w:rsidRPr="003427A6">
        <w:rPr>
          <w:rFonts w:ascii="Candara" w:hAnsi="Candara"/>
          <w:color w:val="0D0D0D" w:themeColor="text1" w:themeTint="F2"/>
        </w:rPr>
        <w:t>dipeptidyl peptidase-4 inhibitors)</w:t>
      </w:r>
      <w:r w:rsidR="00B7779A" w:rsidRPr="003427A6">
        <w:rPr>
          <w:rFonts w:ascii="Candara" w:hAnsi="Candara"/>
          <w:color w:val="0D0D0D" w:themeColor="text1" w:themeTint="F2"/>
        </w:rPr>
        <w:t>.</w:t>
      </w:r>
      <w:r w:rsidR="00B7779A" w:rsidRPr="003427A6">
        <w:rPr>
          <w:rStyle w:val="af8"/>
          <w:rFonts w:ascii="Candara" w:hAnsi="Candara"/>
          <w:color w:val="0D0D0D" w:themeColor="text1" w:themeTint="F2"/>
        </w:rPr>
        <w:endnoteReference w:id="17"/>
      </w:r>
      <w:r w:rsidR="003519E4" w:rsidRPr="003427A6">
        <w:rPr>
          <w:rFonts w:ascii="Candara" w:hAnsi="Candara"/>
          <w:color w:val="0D0D0D" w:themeColor="text1" w:themeTint="F2"/>
        </w:rPr>
        <w:t xml:space="preserve"> </w:t>
      </w:r>
      <w:r w:rsidR="003519E4" w:rsidRPr="003427A6">
        <w:rPr>
          <w:rStyle w:val="af8"/>
          <w:rFonts w:ascii="Candara" w:hAnsi="Candara"/>
          <w:color w:val="0D0D0D" w:themeColor="text1" w:themeTint="F2"/>
        </w:rPr>
        <w:endnoteReference w:id="18"/>
      </w:r>
      <w:r w:rsidR="00B7779A" w:rsidRPr="003427A6">
        <w:rPr>
          <w:rFonts w:ascii="Candara" w:hAnsi="Candara"/>
          <w:color w:val="0D0D0D" w:themeColor="text1" w:themeTint="F2"/>
        </w:rPr>
        <w:t xml:space="preserve">  </w:t>
      </w:r>
    </w:p>
    <w:p w14:paraId="2D392F4B" w14:textId="77777777" w:rsidR="00D81924" w:rsidRPr="003427A6" w:rsidRDefault="00D81924" w:rsidP="00FC4CE1">
      <w:pPr>
        <w:spacing w:line="360" w:lineRule="auto"/>
        <w:ind w:firstLine="720"/>
        <w:rPr>
          <w:rFonts w:ascii="Candara" w:hAnsi="Candara"/>
          <w:color w:val="0D0D0D" w:themeColor="text1" w:themeTint="F2"/>
        </w:rPr>
      </w:pPr>
    </w:p>
    <w:p w14:paraId="668D77AB" w14:textId="37325C50" w:rsidR="00CC10C5" w:rsidRPr="003427A6" w:rsidRDefault="003519E4" w:rsidP="00FC4CE1">
      <w:pPr>
        <w:spacing w:line="360" w:lineRule="auto"/>
        <w:outlineLvl w:val="0"/>
        <w:rPr>
          <w:rFonts w:ascii="Candara" w:hAnsi="Candara"/>
          <w:b/>
          <w:color w:val="0D0D0D" w:themeColor="text1" w:themeTint="F2"/>
        </w:rPr>
      </w:pPr>
      <w:r w:rsidRPr="003427A6">
        <w:rPr>
          <w:rFonts w:ascii="Candara" w:hAnsi="Candara"/>
          <w:b/>
          <w:color w:val="0D0D0D" w:themeColor="text1" w:themeTint="F2"/>
        </w:rPr>
        <w:t>CARDIOVASCULAR SAFETY ASSESSED IN CLINICAL TRIALS OF ANTIDIABETIC AGENTS</w:t>
      </w:r>
      <w:r w:rsidR="0067187B" w:rsidRPr="003427A6">
        <w:rPr>
          <w:rFonts w:ascii="Candara" w:hAnsi="Candara"/>
          <w:b/>
          <w:color w:val="0D0D0D" w:themeColor="text1" w:themeTint="F2"/>
        </w:rPr>
        <w:t xml:space="preserve"> </w:t>
      </w:r>
    </w:p>
    <w:p w14:paraId="220C4082" w14:textId="77777777" w:rsidR="00F0304D" w:rsidRPr="003427A6" w:rsidRDefault="00F0304D" w:rsidP="00FC4CE1">
      <w:pPr>
        <w:spacing w:line="360" w:lineRule="auto"/>
        <w:outlineLvl w:val="0"/>
        <w:rPr>
          <w:rFonts w:ascii="Candara" w:hAnsi="Candara"/>
          <w:b/>
          <w:color w:val="0D0D0D" w:themeColor="text1" w:themeTint="F2"/>
        </w:rPr>
      </w:pPr>
    </w:p>
    <w:p w14:paraId="5C34BABA" w14:textId="564A7913" w:rsidR="0067187B" w:rsidRPr="003427A6" w:rsidRDefault="00BD2EE8" w:rsidP="00B106AB">
      <w:pPr>
        <w:spacing w:line="360" w:lineRule="auto"/>
        <w:ind w:firstLine="720"/>
        <w:rPr>
          <w:rFonts w:ascii="Candara" w:eastAsia="Times New Roman" w:hAnsi="Candara" w:cs="Times New Roman"/>
          <w:color w:val="0D0D0D" w:themeColor="text1" w:themeTint="F2"/>
        </w:rPr>
      </w:pPr>
      <w:r w:rsidRPr="003427A6">
        <w:rPr>
          <w:rFonts w:ascii="Candara" w:hAnsi="Candara"/>
          <w:color w:val="0D0D0D" w:themeColor="text1" w:themeTint="F2"/>
        </w:rPr>
        <w:t>In 2008, the U</w:t>
      </w:r>
      <w:r w:rsidR="002E57EC" w:rsidRPr="003427A6">
        <w:rPr>
          <w:rFonts w:ascii="Candara" w:hAnsi="Candara"/>
          <w:color w:val="0D0D0D" w:themeColor="text1" w:themeTint="F2"/>
        </w:rPr>
        <w:t xml:space="preserve">nited </w:t>
      </w:r>
      <w:r w:rsidRPr="003427A6">
        <w:rPr>
          <w:rFonts w:ascii="Candara" w:hAnsi="Candara"/>
          <w:color w:val="0D0D0D" w:themeColor="text1" w:themeTint="F2"/>
        </w:rPr>
        <w:t>S</w:t>
      </w:r>
      <w:r w:rsidR="002E57EC" w:rsidRPr="003427A6">
        <w:rPr>
          <w:rFonts w:ascii="Candara" w:hAnsi="Candara"/>
          <w:color w:val="0D0D0D" w:themeColor="text1" w:themeTint="F2"/>
        </w:rPr>
        <w:t>tates</w:t>
      </w:r>
      <w:r w:rsidRPr="003427A6">
        <w:rPr>
          <w:rFonts w:ascii="Candara" w:hAnsi="Candara"/>
          <w:color w:val="0D0D0D" w:themeColor="text1" w:themeTint="F2"/>
        </w:rPr>
        <w:t xml:space="preserve"> Food and Drug Administration </w:t>
      </w:r>
      <w:r w:rsidR="00157D87" w:rsidRPr="003427A6">
        <w:rPr>
          <w:rFonts w:ascii="Candara" w:hAnsi="Candara"/>
          <w:color w:val="0D0D0D" w:themeColor="text1" w:themeTint="F2"/>
        </w:rPr>
        <w:t>(FDA) put forth guidelines for drug manufacturers</w:t>
      </w:r>
      <w:r w:rsidRPr="003427A6">
        <w:rPr>
          <w:rFonts w:ascii="Candara" w:hAnsi="Candara"/>
          <w:color w:val="0D0D0D" w:themeColor="text1" w:themeTint="F2"/>
        </w:rPr>
        <w:t xml:space="preserve"> to demonstrate that </w:t>
      </w:r>
      <w:r w:rsidR="00157D87" w:rsidRPr="003427A6">
        <w:rPr>
          <w:rFonts w:ascii="Candara" w:hAnsi="Candara"/>
          <w:color w:val="0D0D0D" w:themeColor="text1" w:themeTint="F2"/>
        </w:rPr>
        <w:t xml:space="preserve">new </w:t>
      </w:r>
      <w:r w:rsidRPr="003427A6">
        <w:rPr>
          <w:rFonts w:ascii="Candara" w:hAnsi="Candara"/>
          <w:color w:val="0D0D0D" w:themeColor="text1" w:themeTint="F2"/>
        </w:rPr>
        <w:t>anti-</w:t>
      </w:r>
      <w:r w:rsidR="00E86D08" w:rsidRPr="003427A6">
        <w:rPr>
          <w:rFonts w:ascii="Candara" w:hAnsi="Candara"/>
          <w:color w:val="0D0D0D" w:themeColor="text1" w:themeTint="F2"/>
        </w:rPr>
        <w:t>hyperglycemic</w:t>
      </w:r>
      <w:r w:rsidRPr="003427A6">
        <w:rPr>
          <w:rFonts w:ascii="Candara" w:hAnsi="Candara"/>
          <w:color w:val="0D0D0D" w:themeColor="text1" w:themeTint="F2"/>
        </w:rPr>
        <w:t xml:space="preserve"> medication</w:t>
      </w:r>
      <w:r w:rsidR="00774844" w:rsidRPr="003427A6">
        <w:rPr>
          <w:rFonts w:ascii="Candara" w:hAnsi="Candara"/>
          <w:color w:val="0D0D0D" w:themeColor="text1" w:themeTint="F2"/>
        </w:rPr>
        <w:t xml:space="preserve">s </w:t>
      </w:r>
      <w:r w:rsidR="00157D87" w:rsidRPr="003427A6">
        <w:rPr>
          <w:rFonts w:ascii="Candara" w:hAnsi="Candara"/>
          <w:color w:val="0D0D0D" w:themeColor="text1" w:themeTint="F2"/>
        </w:rPr>
        <w:t>should</w:t>
      </w:r>
      <w:r w:rsidRPr="003427A6">
        <w:rPr>
          <w:rFonts w:ascii="Candara" w:hAnsi="Candara"/>
          <w:color w:val="0D0D0D" w:themeColor="text1" w:themeTint="F2"/>
        </w:rPr>
        <w:t xml:space="preserve"> not increase </w:t>
      </w:r>
      <w:r w:rsidR="00774844" w:rsidRPr="003427A6">
        <w:rPr>
          <w:rFonts w:ascii="Candara" w:hAnsi="Candara"/>
          <w:color w:val="0D0D0D" w:themeColor="text1" w:themeTint="F2"/>
        </w:rPr>
        <w:t xml:space="preserve">the risk for </w:t>
      </w:r>
      <w:r w:rsidR="00FE775B" w:rsidRPr="003427A6">
        <w:rPr>
          <w:rFonts w:ascii="Candara" w:hAnsi="Candara"/>
          <w:color w:val="0D0D0D" w:themeColor="text1" w:themeTint="F2"/>
        </w:rPr>
        <w:t>MI</w:t>
      </w:r>
      <w:r w:rsidRPr="003427A6">
        <w:rPr>
          <w:rFonts w:ascii="Candara" w:hAnsi="Candara"/>
          <w:color w:val="0D0D0D" w:themeColor="text1" w:themeTint="F2"/>
        </w:rPr>
        <w:t>, stroke</w:t>
      </w:r>
      <w:r w:rsidR="003519E4" w:rsidRPr="003427A6">
        <w:rPr>
          <w:rFonts w:ascii="Candara" w:hAnsi="Candara"/>
          <w:color w:val="0D0D0D" w:themeColor="text1" w:themeTint="F2"/>
        </w:rPr>
        <w:t>, or cardiovascular death</w:t>
      </w:r>
      <w:r w:rsidRPr="003427A6">
        <w:rPr>
          <w:rFonts w:ascii="Candara" w:hAnsi="Candara"/>
          <w:color w:val="0D0D0D" w:themeColor="text1" w:themeTint="F2"/>
        </w:rPr>
        <w:t>.</w:t>
      </w:r>
      <w:r w:rsidR="003519E4" w:rsidRPr="003427A6">
        <w:rPr>
          <w:rStyle w:val="af8"/>
          <w:rFonts w:ascii="Candara" w:hAnsi="Candara"/>
          <w:color w:val="0D0D0D" w:themeColor="text1" w:themeTint="F2"/>
        </w:rPr>
        <w:endnoteReference w:id="19"/>
      </w:r>
      <w:r w:rsidR="003519E4" w:rsidRPr="003427A6">
        <w:rPr>
          <w:rFonts w:ascii="Candara" w:hAnsi="Candara"/>
          <w:color w:val="0D0D0D" w:themeColor="text1" w:themeTint="F2"/>
        </w:rPr>
        <w:t xml:space="preserve">  </w:t>
      </w:r>
      <w:bookmarkStart w:id="5" w:name="_Hlk535669059"/>
      <w:r w:rsidR="008C4178" w:rsidRPr="003427A6">
        <w:rPr>
          <w:rFonts w:ascii="Candara" w:hAnsi="Candara"/>
          <w:color w:val="0D0D0D" w:themeColor="text1" w:themeTint="F2"/>
        </w:rPr>
        <w:t xml:space="preserve">Specifically, the upper bound of the 95% confidence limit of the hazard ratio for major adverse cardiac events (nonfatal myocardial infarction, non-fatal stroke, or cardiovascular death) should not exceed 1.30 at </w:t>
      </w:r>
      <w:r w:rsidR="008C4178" w:rsidRPr="003427A6">
        <w:rPr>
          <w:rFonts w:ascii="Candara" w:hAnsi="Candara"/>
          <w:color w:val="0D0D0D" w:themeColor="text1" w:themeTint="F2"/>
        </w:rPr>
        <w:lastRenderedPageBreak/>
        <w:t>the end of the trial nor &gt; 1.80 at any interim analysis.</w:t>
      </w:r>
      <w:bookmarkEnd w:id="5"/>
      <w:r w:rsidR="008C4178" w:rsidRPr="003427A6">
        <w:rPr>
          <w:rStyle w:val="af8"/>
          <w:rFonts w:ascii="Candara" w:hAnsi="Candara"/>
          <w:color w:val="0D0D0D" w:themeColor="text1" w:themeTint="F2"/>
        </w:rPr>
        <w:endnoteReference w:id="20"/>
      </w:r>
      <w:r w:rsidR="008C4178" w:rsidRPr="003427A6">
        <w:rPr>
          <w:rFonts w:ascii="Candara" w:hAnsi="Candara"/>
          <w:color w:val="0D0D0D" w:themeColor="text1" w:themeTint="F2"/>
        </w:rPr>
        <w:t xml:space="preserve">  </w:t>
      </w:r>
      <w:r w:rsidR="003519E4" w:rsidRPr="003427A6">
        <w:rPr>
          <w:rFonts w:ascii="Candara" w:hAnsi="Candara"/>
          <w:color w:val="0D0D0D" w:themeColor="text1" w:themeTint="F2"/>
        </w:rPr>
        <w:t xml:space="preserve">The shortcoming of this guidance is that it ignored the important connections between T2DM and the risk of </w:t>
      </w:r>
      <w:r w:rsidR="002E57EC" w:rsidRPr="003427A6">
        <w:rPr>
          <w:rFonts w:ascii="Candara" w:hAnsi="Candara"/>
          <w:color w:val="0D0D0D" w:themeColor="text1" w:themeTint="F2"/>
        </w:rPr>
        <w:t>HF</w:t>
      </w:r>
      <w:r w:rsidR="003519E4" w:rsidRPr="003427A6">
        <w:rPr>
          <w:rFonts w:ascii="Candara" w:hAnsi="Candara"/>
          <w:color w:val="0D0D0D" w:themeColor="text1" w:themeTint="F2"/>
        </w:rPr>
        <w:t>, progression of kidney disease, and other organ system illnesses.</w:t>
      </w:r>
      <w:r w:rsidR="001000FB" w:rsidRPr="003427A6">
        <w:rPr>
          <w:rStyle w:val="af8"/>
          <w:rFonts w:ascii="Candara" w:hAnsi="Candara"/>
          <w:color w:val="0D0D0D" w:themeColor="text1" w:themeTint="F2"/>
        </w:rPr>
        <w:endnoteReference w:id="21"/>
      </w:r>
      <w:r w:rsidR="003519E4" w:rsidRPr="003427A6">
        <w:rPr>
          <w:rFonts w:ascii="Candara" w:hAnsi="Candara"/>
          <w:color w:val="0D0D0D" w:themeColor="text1" w:themeTint="F2"/>
        </w:rPr>
        <w:t xml:space="preserve">  </w:t>
      </w:r>
      <w:r w:rsidR="007222F5" w:rsidRPr="003427A6">
        <w:rPr>
          <w:rFonts w:ascii="Candara" w:hAnsi="Candara"/>
          <w:color w:val="0D0D0D" w:themeColor="text1" w:themeTint="F2"/>
        </w:rPr>
        <w:t xml:space="preserve">Additionally, </w:t>
      </w:r>
      <w:r w:rsidR="006F2B1D" w:rsidRPr="003427A6">
        <w:rPr>
          <w:rFonts w:ascii="Candara" w:hAnsi="Candara"/>
          <w:color w:val="0D0D0D" w:themeColor="text1" w:themeTint="F2"/>
        </w:rPr>
        <w:t xml:space="preserve">while </w:t>
      </w:r>
      <w:r w:rsidR="007222F5" w:rsidRPr="003427A6">
        <w:rPr>
          <w:rFonts w:ascii="Candara" w:hAnsi="Candara"/>
          <w:color w:val="0D0D0D" w:themeColor="text1" w:themeTint="F2"/>
        </w:rPr>
        <w:t>it leveraged the endpoints that were associated with hyp</w:t>
      </w:r>
      <w:r w:rsidR="00F86191" w:rsidRPr="003427A6">
        <w:rPr>
          <w:rFonts w:ascii="Candara" w:hAnsi="Candara"/>
          <w:color w:val="0D0D0D" w:themeColor="text1" w:themeTint="F2"/>
        </w:rPr>
        <w:t>er</w:t>
      </w:r>
      <w:r w:rsidR="007222F5" w:rsidRPr="003427A6">
        <w:rPr>
          <w:rFonts w:ascii="Candara" w:hAnsi="Candara"/>
          <w:color w:val="0D0D0D" w:themeColor="text1" w:themeTint="F2"/>
        </w:rPr>
        <w:t>glycemia (</w:t>
      </w:r>
      <w:r w:rsidR="00FE775B" w:rsidRPr="003427A6">
        <w:rPr>
          <w:rFonts w:ascii="Candara" w:hAnsi="Candara"/>
          <w:color w:val="0D0D0D" w:themeColor="text1" w:themeTint="F2"/>
        </w:rPr>
        <w:t>MI</w:t>
      </w:r>
      <w:r w:rsidR="007222F5" w:rsidRPr="003427A6">
        <w:rPr>
          <w:rFonts w:ascii="Candara" w:hAnsi="Candara"/>
          <w:color w:val="0D0D0D" w:themeColor="text1" w:themeTint="F2"/>
        </w:rPr>
        <w:t xml:space="preserve">, stroke, cardiovascular death) </w:t>
      </w:r>
      <w:r w:rsidR="002E57EC" w:rsidRPr="003427A6">
        <w:rPr>
          <w:rFonts w:ascii="Candara" w:hAnsi="Candara"/>
          <w:color w:val="0D0D0D" w:themeColor="text1" w:themeTint="F2"/>
        </w:rPr>
        <w:t xml:space="preserve">it </w:t>
      </w:r>
      <w:r w:rsidR="007222F5" w:rsidRPr="003427A6">
        <w:rPr>
          <w:rFonts w:ascii="Candara" w:hAnsi="Candara"/>
          <w:color w:val="0D0D0D" w:themeColor="text1" w:themeTint="F2"/>
        </w:rPr>
        <w:t xml:space="preserve">failed to provide a framework that could adapt to the mechanism of action of the drug or consider important unique safety events for adjudication (e.g. extremity amputation, </w:t>
      </w:r>
      <w:r w:rsidR="00AE4144" w:rsidRPr="003427A6">
        <w:rPr>
          <w:rFonts w:ascii="Candara" w:hAnsi="Candara"/>
          <w:color w:val="0D0D0D" w:themeColor="text1" w:themeTint="F2"/>
        </w:rPr>
        <w:t>DKA</w:t>
      </w:r>
      <w:r w:rsidR="006F2B1D" w:rsidRPr="003427A6">
        <w:rPr>
          <w:rFonts w:ascii="Candara" w:hAnsi="Candara"/>
          <w:color w:val="0D0D0D" w:themeColor="text1" w:themeTint="F2"/>
        </w:rPr>
        <w:t>, acute kidney injury</w:t>
      </w:r>
      <w:r w:rsidR="007222F5" w:rsidRPr="003427A6">
        <w:rPr>
          <w:rFonts w:ascii="Candara" w:hAnsi="Candara"/>
          <w:color w:val="0D0D0D" w:themeColor="text1" w:themeTint="F2"/>
        </w:rPr>
        <w:t xml:space="preserve">).  In the United States, there have been four FDA approved </w:t>
      </w:r>
      <w:r w:rsidR="00AE4144" w:rsidRPr="003427A6">
        <w:rPr>
          <w:rFonts w:ascii="Candara" w:hAnsi="Candara"/>
          <w:color w:val="0D0D0D" w:themeColor="text1" w:themeTint="F2"/>
        </w:rPr>
        <w:t>sodium glucose co-transporter inhibitors (</w:t>
      </w:r>
      <w:r w:rsidR="007222F5" w:rsidRPr="003427A6">
        <w:rPr>
          <w:rFonts w:ascii="Candara" w:hAnsi="Candara"/>
          <w:color w:val="0D0D0D" w:themeColor="text1" w:themeTint="F2"/>
        </w:rPr>
        <w:t>SGLT2i</w:t>
      </w:r>
      <w:r w:rsidR="00AE4144" w:rsidRPr="003427A6">
        <w:rPr>
          <w:rFonts w:ascii="Candara" w:hAnsi="Candara"/>
          <w:color w:val="0D0D0D" w:themeColor="text1" w:themeTint="F2"/>
        </w:rPr>
        <w:t>)</w:t>
      </w:r>
      <w:r w:rsidR="007222F5" w:rsidRPr="003427A6">
        <w:rPr>
          <w:rFonts w:ascii="Candara" w:hAnsi="Candara"/>
          <w:color w:val="0D0D0D" w:themeColor="text1" w:themeTint="F2"/>
        </w:rPr>
        <w:t xml:space="preserve"> based on this guidance</w:t>
      </w:r>
      <w:r w:rsidR="00F92265" w:rsidRPr="003427A6">
        <w:rPr>
          <w:rFonts w:ascii="Candara" w:hAnsi="Candara"/>
        </w:rPr>
        <w:t xml:space="preserve">; their clinical implications have </w:t>
      </w:r>
      <w:r w:rsidR="006F7841" w:rsidRPr="003427A6">
        <w:rPr>
          <w:rFonts w:ascii="Candara" w:hAnsi="Candara"/>
        </w:rPr>
        <w:t>been well-demonstrated and are</w:t>
      </w:r>
      <w:r w:rsidR="00F92265" w:rsidRPr="003427A6">
        <w:rPr>
          <w:rFonts w:ascii="Candara" w:hAnsi="Candara"/>
        </w:rPr>
        <w:t xml:space="preserve"> promising new tool</w:t>
      </w:r>
      <w:r w:rsidR="006F7841" w:rsidRPr="003427A6">
        <w:rPr>
          <w:rFonts w:ascii="Candara" w:hAnsi="Candara"/>
        </w:rPr>
        <w:t>s</w:t>
      </w:r>
      <w:r w:rsidR="00F92265" w:rsidRPr="003427A6">
        <w:rPr>
          <w:rFonts w:ascii="Candara" w:hAnsi="Candara"/>
        </w:rPr>
        <w:t xml:space="preserve"> for</w:t>
      </w:r>
      <w:r w:rsidR="006F7841" w:rsidRPr="003427A6">
        <w:rPr>
          <w:rFonts w:ascii="Candara" w:hAnsi="Candara"/>
        </w:rPr>
        <w:t xml:space="preserve"> the</w:t>
      </w:r>
      <w:r w:rsidR="00F92265" w:rsidRPr="003427A6">
        <w:rPr>
          <w:rFonts w:ascii="Candara" w:hAnsi="Candara"/>
        </w:rPr>
        <w:t xml:space="preserve"> care of T2DM patients with established cardiovascular disease, as evidenced by the recent 2018 American College of Cardiology Expert Consensus Decision.</w:t>
      </w:r>
      <w:r w:rsidR="00F92265" w:rsidRPr="003427A6">
        <w:rPr>
          <w:rStyle w:val="af8"/>
          <w:rFonts w:ascii="Candara" w:hAnsi="Candara"/>
        </w:rPr>
        <w:endnoteReference w:id="22"/>
      </w:r>
      <w:r w:rsidR="00F92265" w:rsidRPr="003427A6">
        <w:rPr>
          <w:rFonts w:ascii="Candara" w:hAnsi="Candara"/>
        </w:rPr>
        <w:t xml:space="preserve">  </w:t>
      </w:r>
      <w:r w:rsidR="00417292" w:rsidRPr="003427A6">
        <w:rPr>
          <w:rFonts w:ascii="Candara" w:hAnsi="Candara"/>
        </w:rPr>
        <w:t xml:space="preserve">However, there are concerning potential adverse effects – for </w:t>
      </w:r>
      <w:r w:rsidR="00B106AB" w:rsidRPr="003427A6">
        <w:rPr>
          <w:rFonts w:ascii="Candara" w:hAnsi="Candara"/>
        </w:rPr>
        <w:t>example, a registr</w:t>
      </w:r>
      <w:r w:rsidR="00B95319" w:rsidRPr="003427A6">
        <w:rPr>
          <w:rFonts w:ascii="Candara" w:hAnsi="Candara"/>
        </w:rPr>
        <w:t>y</w:t>
      </w:r>
      <w:r w:rsidR="00B106AB" w:rsidRPr="003427A6">
        <w:rPr>
          <w:rFonts w:ascii="Candara" w:hAnsi="Candara"/>
        </w:rPr>
        <w:t>-based cohort study (n=34,426) comparing outcomes between new users of SGLT2i and GLP1 receptor agonists found that SGLT2i were associated with increased risk of lower limb amputation and DKA</w:t>
      </w:r>
      <w:r w:rsidR="006F7841" w:rsidRPr="003427A6">
        <w:rPr>
          <w:rFonts w:ascii="Candara" w:hAnsi="Candara"/>
        </w:rPr>
        <w:t xml:space="preserve"> compared to GLP1 receptor agonists</w:t>
      </w:r>
      <w:r w:rsidR="00B106AB" w:rsidRPr="003427A6">
        <w:rPr>
          <w:rFonts w:ascii="Candara" w:hAnsi="Candara"/>
        </w:rPr>
        <w:t>.</w:t>
      </w:r>
      <w:r w:rsidR="00B106AB" w:rsidRPr="003427A6">
        <w:rPr>
          <w:rStyle w:val="af8"/>
          <w:rFonts w:ascii="Candara" w:hAnsi="Candara"/>
        </w:rPr>
        <w:endnoteReference w:id="23"/>
      </w:r>
      <w:r w:rsidR="007222F5" w:rsidRPr="003427A6">
        <w:rPr>
          <w:rFonts w:ascii="Candara" w:hAnsi="Candara"/>
        </w:rPr>
        <w:t xml:space="preserve"> </w:t>
      </w:r>
      <w:r w:rsidR="006F7FB5" w:rsidRPr="003427A6">
        <w:rPr>
          <w:rFonts w:ascii="Candara" w:hAnsi="Candara"/>
        </w:rPr>
        <w:t>In 2017 the European Medicines Agency a warning for this SGLT2i class limited at that time to canagliflozin, empagliflozin, and dapagliflozin concerning the risk of lower limb amputations.</w:t>
      </w:r>
      <w:r w:rsidR="006F7FB5" w:rsidRPr="003427A6">
        <w:rPr>
          <w:rStyle w:val="af8"/>
          <w:rFonts w:ascii="Candara" w:hAnsi="Candara"/>
        </w:rPr>
        <w:endnoteReference w:id="24"/>
      </w:r>
      <w:r w:rsidR="006F7FB5" w:rsidRPr="003427A6">
        <w:rPr>
          <w:rFonts w:ascii="Candara" w:hAnsi="Candara"/>
        </w:rPr>
        <w:t xml:space="preserve">  </w:t>
      </w:r>
      <w:r w:rsidR="00417292" w:rsidRPr="003427A6">
        <w:rPr>
          <w:rFonts w:ascii="Candara" w:hAnsi="Candara"/>
          <w:color w:val="0D0D0D" w:themeColor="text1" w:themeTint="F2"/>
        </w:rPr>
        <w:t>The array of clinical response</w:t>
      </w:r>
      <w:r w:rsidR="00E1798B" w:rsidRPr="003427A6">
        <w:rPr>
          <w:rFonts w:ascii="Candara" w:hAnsi="Candara"/>
          <w:color w:val="0D0D0D" w:themeColor="text1" w:themeTint="F2"/>
        </w:rPr>
        <w:t>s</w:t>
      </w:r>
      <w:r w:rsidR="00417292" w:rsidRPr="003427A6">
        <w:rPr>
          <w:rFonts w:ascii="Candara" w:hAnsi="Candara"/>
          <w:color w:val="0D0D0D" w:themeColor="text1" w:themeTint="F2"/>
        </w:rPr>
        <w:t xml:space="preserve"> to this class of agents calls for an in-depth consideration of both target-mediated and off-target effects. </w:t>
      </w:r>
      <w:r w:rsidR="007222F5" w:rsidRPr="003427A6">
        <w:rPr>
          <w:rFonts w:ascii="Candara" w:hAnsi="Candara"/>
          <w:color w:val="0D0D0D" w:themeColor="text1" w:themeTint="F2"/>
        </w:rPr>
        <w:t>Such an analysis of biologic mechanisms would account for</w:t>
      </w:r>
      <w:r w:rsidR="00AE4144" w:rsidRPr="003427A6">
        <w:rPr>
          <w:rFonts w:ascii="Candara" w:hAnsi="Candara"/>
          <w:color w:val="0D0D0D" w:themeColor="text1" w:themeTint="F2"/>
        </w:rPr>
        <w:t xml:space="preserve"> positive outcomes such as</w:t>
      </w:r>
      <w:r w:rsidR="007222F5" w:rsidRPr="003427A6">
        <w:rPr>
          <w:rFonts w:ascii="Candara" w:hAnsi="Candara"/>
          <w:color w:val="0D0D0D" w:themeColor="text1" w:themeTint="F2"/>
        </w:rPr>
        <w:t xml:space="preserve"> a reduction in </w:t>
      </w:r>
      <w:r w:rsidR="00AE4144" w:rsidRPr="003427A6">
        <w:rPr>
          <w:rFonts w:ascii="Candara" w:hAnsi="Candara"/>
          <w:color w:val="0D0D0D" w:themeColor="text1" w:themeTint="F2"/>
        </w:rPr>
        <w:t>HF</w:t>
      </w:r>
      <w:r w:rsidR="007222F5" w:rsidRPr="003427A6">
        <w:rPr>
          <w:rFonts w:ascii="Candara" w:hAnsi="Candara"/>
          <w:color w:val="0D0D0D" w:themeColor="text1" w:themeTint="F2"/>
        </w:rPr>
        <w:t xml:space="preserve"> hospitalization</w:t>
      </w:r>
      <w:r w:rsidR="00AE4144" w:rsidRPr="003427A6">
        <w:rPr>
          <w:rFonts w:ascii="Candara" w:hAnsi="Candara"/>
          <w:color w:val="0D0D0D" w:themeColor="text1" w:themeTint="F2"/>
        </w:rPr>
        <w:t>,</w:t>
      </w:r>
      <w:r w:rsidR="007222F5" w:rsidRPr="003427A6">
        <w:rPr>
          <w:rFonts w:ascii="Candara" w:hAnsi="Candara"/>
          <w:color w:val="0D0D0D" w:themeColor="text1" w:themeTint="F2"/>
        </w:rPr>
        <w:t xml:space="preserve"> cardiovascular death, </w:t>
      </w:r>
      <w:r w:rsidR="00AE4144" w:rsidRPr="003427A6">
        <w:rPr>
          <w:rFonts w:ascii="Candara" w:hAnsi="Candara"/>
          <w:color w:val="0D0D0D" w:themeColor="text1" w:themeTint="F2"/>
        </w:rPr>
        <w:t xml:space="preserve">and </w:t>
      </w:r>
      <w:r w:rsidR="007222F5" w:rsidRPr="003427A6">
        <w:rPr>
          <w:rFonts w:ascii="Candara" w:hAnsi="Candara"/>
          <w:color w:val="0D0D0D" w:themeColor="text1" w:themeTint="F2"/>
        </w:rPr>
        <w:t>attenuation of progression of diabetic kidney disease</w:t>
      </w:r>
      <w:r w:rsidR="005A7617" w:rsidRPr="003427A6">
        <w:rPr>
          <w:rFonts w:ascii="Candara" w:hAnsi="Candara"/>
          <w:color w:val="FF0000"/>
        </w:rPr>
        <w:t xml:space="preserve"> </w:t>
      </w:r>
      <w:r w:rsidR="005A7617" w:rsidRPr="003427A6">
        <w:rPr>
          <w:rFonts w:ascii="Candara" w:hAnsi="Candara"/>
        </w:rPr>
        <w:t>(Figure 1)</w:t>
      </w:r>
      <w:r w:rsidR="007222F5" w:rsidRPr="003427A6">
        <w:rPr>
          <w:rFonts w:ascii="Candara" w:hAnsi="Candara"/>
          <w:color w:val="0D0D0D" w:themeColor="text1" w:themeTint="F2"/>
        </w:rPr>
        <w:t>,</w:t>
      </w:r>
      <w:r w:rsidR="00AE4144" w:rsidRPr="003427A6">
        <w:rPr>
          <w:rFonts w:ascii="Candara" w:hAnsi="Candara"/>
          <w:color w:val="0D0D0D" w:themeColor="text1" w:themeTint="F2"/>
        </w:rPr>
        <w:t xml:space="preserve"> as well as </w:t>
      </w:r>
      <w:r w:rsidR="008C4178" w:rsidRPr="003427A6">
        <w:rPr>
          <w:rFonts w:ascii="Candara" w:hAnsi="Candara"/>
          <w:color w:val="0D0D0D" w:themeColor="text1" w:themeTint="F2"/>
        </w:rPr>
        <w:t>adverse</w:t>
      </w:r>
      <w:r w:rsidR="00AE4144" w:rsidRPr="003427A6">
        <w:rPr>
          <w:rFonts w:ascii="Candara" w:hAnsi="Candara"/>
          <w:color w:val="0D0D0D" w:themeColor="text1" w:themeTint="F2"/>
        </w:rPr>
        <w:t xml:space="preserve"> outcomes such as</w:t>
      </w:r>
      <w:r w:rsidR="006F2B1D" w:rsidRPr="003427A6">
        <w:rPr>
          <w:rFonts w:ascii="Candara" w:hAnsi="Candara"/>
          <w:color w:val="0D0D0D" w:themeColor="text1" w:themeTint="F2"/>
        </w:rPr>
        <w:t xml:space="preserve"> an</w:t>
      </w:r>
      <w:r w:rsidR="007222F5" w:rsidRPr="003427A6">
        <w:rPr>
          <w:rFonts w:ascii="Candara" w:hAnsi="Candara"/>
          <w:color w:val="0D0D0D" w:themeColor="text1" w:themeTint="F2"/>
        </w:rPr>
        <w:t xml:space="preserve"> increased risk of limb amputation, Fournier’s gangrene, </w:t>
      </w:r>
      <w:r w:rsidR="00AE4144" w:rsidRPr="003427A6">
        <w:rPr>
          <w:rFonts w:ascii="Candara" w:hAnsi="Candara"/>
          <w:color w:val="0D0D0D" w:themeColor="text1" w:themeTint="F2"/>
        </w:rPr>
        <w:t>DKA</w:t>
      </w:r>
      <w:r w:rsidR="007222F5" w:rsidRPr="003427A6">
        <w:rPr>
          <w:rFonts w:ascii="Candara" w:hAnsi="Candara"/>
          <w:color w:val="0D0D0D" w:themeColor="text1" w:themeTint="F2"/>
        </w:rPr>
        <w:t xml:space="preserve">, metabolic bone disease, and increased hematopoiesis. </w:t>
      </w:r>
    </w:p>
    <w:p w14:paraId="34F99E8A" w14:textId="77777777" w:rsidR="00F24EA4" w:rsidRPr="003427A6" w:rsidRDefault="00F24EA4" w:rsidP="00FC4CE1">
      <w:pPr>
        <w:spacing w:line="360" w:lineRule="auto"/>
        <w:rPr>
          <w:rFonts w:ascii="Candara" w:hAnsi="Candara"/>
          <w:color w:val="0D0D0D" w:themeColor="text1" w:themeTint="F2"/>
        </w:rPr>
      </w:pPr>
    </w:p>
    <w:p w14:paraId="6743D77E" w14:textId="738DE273" w:rsidR="00F24EA4" w:rsidRPr="003427A6" w:rsidRDefault="00F24EA4" w:rsidP="00FC4CE1">
      <w:pPr>
        <w:spacing w:line="360" w:lineRule="auto"/>
        <w:rPr>
          <w:rFonts w:ascii="Candara" w:hAnsi="Candara"/>
          <w:b/>
          <w:color w:val="0D0D0D" w:themeColor="text1" w:themeTint="F2"/>
        </w:rPr>
      </w:pPr>
      <w:r w:rsidRPr="003427A6">
        <w:rPr>
          <w:rFonts w:ascii="Candara" w:hAnsi="Candara"/>
          <w:b/>
          <w:color w:val="0D0D0D" w:themeColor="text1" w:themeTint="F2"/>
        </w:rPr>
        <w:t xml:space="preserve">The </w:t>
      </w:r>
      <w:r w:rsidRPr="003427A6">
        <w:rPr>
          <w:rFonts w:ascii="Candara" w:hAnsi="Candara"/>
          <w:b/>
          <w:i/>
          <w:color w:val="0D0D0D" w:themeColor="text1" w:themeTint="F2"/>
        </w:rPr>
        <w:t>EMPA-REG OUTCOME</w:t>
      </w:r>
      <w:r w:rsidRPr="003427A6">
        <w:rPr>
          <w:rFonts w:ascii="Candara" w:hAnsi="Candara"/>
          <w:b/>
          <w:color w:val="0D0D0D" w:themeColor="text1" w:themeTint="F2"/>
        </w:rPr>
        <w:t xml:space="preserve"> Trial</w:t>
      </w:r>
    </w:p>
    <w:p w14:paraId="25354C3E" w14:textId="77777777" w:rsidR="00C5008F" w:rsidRPr="003427A6" w:rsidRDefault="00C5008F" w:rsidP="00FC4CE1">
      <w:pPr>
        <w:spacing w:line="360" w:lineRule="auto"/>
        <w:rPr>
          <w:rFonts w:ascii="Candara" w:hAnsi="Candara"/>
          <w:b/>
          <w:color w:val="0D0D0D" w:themeColor="text1" w:themeTint="F2"/>
        </w:rPr>
      </w:pPr>
    </w:p>
    <w:p w14:paraId="728853F1" w14:textId="1A89DBF8" w:rsidR="00391831" w:rsidRPr="003427A6" w:rsidRDefault="00203769" w:rsidP="00ED4169">
      <w:pPr>
        <w:spacing w:line="360" w:lineRule="auto"/>
        <w:ind w:firstLine="720"/>
        <w:rPr>
          <w:rFonts w:ascii="Candara" w:eastAsia="Times New Roman" w:hAnsi="Candara" w:cs="Times New Roman"/>
        </w:rPr>
      </w:pPr>
      <w:r w:rsidRPr="003427A6">
        <w:rPr>
          <w:rFonts w:ascii="Candara" w:hAnsi="Candara"/>
          <w:color w:val="0D0D0D" w:themeColor="text1" w:themeTint="F2"/>
        </w:rPr>
        <w:t>The</w:t>
      </w:r>
      <w:r w:rsidR="0061582E" w:rsidRPr="003427A6">
        <w:rPr>
          <w:rFonts w:ascii="Candara" w:hAnsi="Candara"/>
          <w:color w:val="0D0D0D" w:themeColor="text1" w:themeTint="F2"/>
        </w:rPr>
        <w:t xml:space="preserve"> Empagliflozin, Cardiovascular Outcomes, and Mortality in Type 2 Diabetes</w:t>
      </w:r>
      <w:r w:rsidR="002C752A" w:rsidRPr="003427A6">
        <w:rPr>
          <w:rFonts w:ascii="Candara" w:hAnsi="Candara"/>
          <w:color w:val="0D0D0D" w:themeColor="text1" w:themeTint="F2"/>
        </w:rPr>
        <w:t xml:space="preserve"> </w:t>
      </w:r>
      <w:r w:rsidR="0061582E" w:rsidRPr="003427A6">
        <w:rPr>
          <w:rFonts w:ascii="Candara" w:hAnsi="Candara"/>
          <w:color w:val="0D0D0D" w:themeColor="text1" w:themeTint="F2"/>
        </w:rPr>
        <w:t>(</w:t>
      </w:r>
      <w:r w:rsidR="002C752A" w:rsidRPr="003427A6">
        <w:rPr>
          <w:rFonts w:ascii="Candara" w:hAnsi="Candara"/>
          <w:color w:val="0D0D0D" w:themeColor="text1" w:themeTint="F2"/>
        </w:rPr>
        <w:t>EMPA</w:t>
      </w:r>
      <w:r w:rsidR="00A95B5F" w:rsidRPr="003427A6">
        <w:rPr>
          <w:rFonts w:ascii="Candara" w:hAnsi="Candara"/>
          <w:color w:val="0D0D0D" w:themeColor="text1" w:themeTint="F2"/>
        </w:rPr>
        <w:t>-</w:t>
      </w:r>
      <w:r w:rsidR="002C752A" w:rsidRPr="003427A6">
        <w:rPr>
          <w:rFonts w:ascii="Candara" w:hAnsi="Candara"/>
          <w:color w:val="0D0D0D" w:themeColor="text1" w:themeTint="F2"/>
        </w:rPr>
        <w:t xml:space="preserve">REG </w:t>
      </w:r>
      <w:r w:rsidR="00C75647" w:rsidRPr="003427A6">
        <w:rPr>
          <w:rFonts w:ascii="Candara" w:hAnsi="Candara"/>
          <w:color w:val="0D0D0D" w:themeColor="text1" w:themeTint="F2"/>
        </w:rPr>
        <w:t>OUTCOME</w:t>
      </w:r>
      <w:r w:rsidR="0061582E" w:rsidRPr="003427A6">
        <w:rPr>
          <w:rFonts w:ascii="Candara" w:hAnsi="Candara"/>
          <w:color w:val="0D0D0D" w:themeColor="text1" w:themeTint="F2"/>
        </w:rPr>
        <w:t>)</w:t>
      </w:r>
      <w:r w:rsidR="00C75647" w:rsidRPr="003427A6">
        <w:rPr>
          <w:rFonts w:ascii="Candara" w:hAnsi="Candara"/>
          <w:color w:val="0D0D0D" w:themeColor="text1" w:themeTint="F2"/>
        </w:rPr>
        <w:t xml:space="preserve"> trial </w:t>
      </w:r>
      <w:r w:rsidR="0083746C" w:rsidRPr="003427A6">
        <w:rPr>
          <w:rFonts w:ascii="Candara" w:hAnsi="Candara"/>
          <w:color w:val="0D0D0D" w:themeColor="text1" w:themeTint="F2"/>
        </w:rPr>
        <w:t>wa</w:t>
      </w:r>
      <w:r w:rsidRPr="003427A6">
        <w:rPr>
          <w:rFonts w:ascii="Candara" w:hAnsi="Candara"/>
          <w:color w:val="0D0D0D" w:themeColor="text1" w:themeTint="F2"/>
        </w:rPr>
        <w:t>s the first to show</w:t>
      </w:r>
      <w:r w:rsidR="0083746C" w:rsidRPr="003427A6">
        <w:rPr>
          <w:rFonts w:ascii="Candara" w:hAnsi="Candara"/>
          <w:color w:val="0D0D0D" w:themeColor="text1" w:themeTint="F2"/>
        </w:rPr>
        <w:t xml:space="preserve"> </w:t>
      </w:r>
      <w:r w:rsidR="00197B9B" w:rsidRPr="003427A6">
        <w:rPr>
          <w:rFonts w:ascii="Candara" w:hAnsi="Candara"/>
          <w:color w:val="0D0D0D" w:themeColor="text1" w:themeTint="F2"/>
        </w:rPr>
        <w:t>cardiovascular mortality</w:t>
      </w:r>
      <w:r w:rsidR="0083746C" w:rsidRPr="003427A6">
        <w:rPr>
          <w:rFonts w:ascii="Candara" w:hAnsi="Candara"/>
          <w:color w:val="0D0D0D" w:themeColor="text1" w:themeTint="F2"/>
        </w:rPr>
        <w:t xml:space="preserve"> reduction </w:t>
      </w:r>
      <w:r w:rsidR="00456CF5" w:rsidRPr="003427A6">
        <w:rPr>
          <w:rFonts w:ascii="Candara" w:hAnsi="Candara"/>
          <w:color w:val="0D0D0D" w:themeColor="text1" w:themeTint="F2"/>
        </w:rPr>
        <w:t xml:space="preserve">in </w:t>
      </w:r>
      <w:r w:rsidR="00A95B5F" w:rsidRPr="003427A6">
        <w:rPr>
          <w:rFonts w:ascii="Candara" w:hAnsi="Candara"/>
          <w:color w:val="0D0D0D" w:themeColor="text1" w:themeTint="F2"/>
        </w:rPr>
        <w:t>T2</w:t>
      </w:r>
      <w:r w:rsidR="001C2FC8" w:rsidRPr="003427A6">
        <w:rPr>
          <w:rFonts w:ascii="Candara" w:hAnsi="Candara"/>
          <w:color w:val="0D0D0D" w:themeColor="text1" w:themeTint="F2"/>
        </w:rPr>
        <w:t>DM</w:t>
      </w:r>
      <w:r w:rsidR="00456CF5" w:rsidRPr="003427A6">
        <w:rPr>
          <w:rFonts w:ascii="Candara" w:hAnsi="Candara"/>
          <w:color w:val="0D0D0D" w:themeColor="text1" w:themeTint="F2"/>
        </w:rPr>
        <w:t xml:space="preserve"> patients with established cardiovascular disease</w:t>
      </w:r>
      <w:r w:rsidR="001C2FC8" w:rsidRPr="003427A6">
        <w:rPr>
          <w:rFonts w:ascii="Candara" w:hAnsi="Candara"/>
          <w:color w:val="0D0D0D" w:themeColor="text1" w:themeTint="F2"/>
        </w:rPr>
        <w:t xml:space="preserve"> </w:t>
      </w:r>
      <w:r w:rsidR="00E86D08" w:rsidRPr="003427A6">
        <w:rPr>
          <w:rFonts w:ascii="Candara" w:hAnsi="Candara"/>
          <w:color w:val="0D0D0D" w:themeColor="text1" w:themeTint="F2"/>
        </w:rPr>
        <w:t xml:space="preserve">treated </w:t>
      </w:r>
      <w:r w:rsidR="001000FB" w:rsidRPr="003427A6">
        <w:rPr>
          <w:rFonts w:ascii="Candara" w:hAnsi="Candara"/>
          <w:color w:val="0D0D0D" w:themeColor="text1" w:themeTint="F2"/>
        </w:rPr>
        <w:t>with the SGLT2i</w:t>
      </w:r>
      <w:r w:rsidR="001C2FC8" w:rsidRPr="003427A6">
        <w:rPr>
          <w:rFonts w:ascii="Candara" w:hAnsi="Candara"/>
          <w:color w:val="0D0D0D" w:themeColor="text1" w:themeTint="F2"/>
        </w:rPr>
        <w:t xml:space="preserve"> </w:t>
      </w:r>
      <w:r w:rsidR="0083746C" w:rsidRPr="003427A6">
        <w:rPr>
          <w:rFonts w:ascii="Candara" w:hAnsi="Candara"/>
          <w:color w:val="0D0D0D" w:themeColor="text1" w:themeTint="F2"/>
        </w:rPr>
        <w:t>empagliflozin</w:t>
      </w:r>
      <w:r w:rsidR="001000FB" w:rsidRPr="003427A6">
        <w:rPr>
          <w:rFonts w:ascii="Candara" w:hAnsi="Candara"/>
          <w:color w:val="0D0D0D" w:themeColor="text1" w:themeTint="F2"/>
        </w:rPr>
        <w:t xml:space="preserve">.  </w:t>
      </w:r>
      <w:r w:rsidR="00F23D6B" w:rsidRPr="003427A6">
        <w:rPr>
          <w:rFonts w:ascii="Candara" w:hAnsi="Candara"/>
          <w:color w:val="0D0D0D" w:themeColor="text1" w:themeTint="F2"/>
        </w:rPr>
        <w:t>This</w:t>
      </w:r>
      <w:r w:rsidRPr="003427A6">
        <w:rPr>
          <w:rFonts w:ascii="Candara" w:hAnsi="Candara"/>
          <w:color w:val="0D0D0D" w:themeColor="text1" w:themeTint="F2"/>
        </w:rPr>
        <w:t xml:space="preserve"> tria</w:t>
      </w:r>
      <w:r w:rsidR="005D1996" w:rsidRPr="003427A6">
        <w:rPr>
          <w:rFonts w:ascii="Candara" w:hAnsi="Candara"/>
          <w:color w:val="0D0D0D" w:themeColor="text1" w:themeTint="F2"/>
        </w:rPr>
        <w:t xml:space="preserve">l </w:t>
      </w:r>
      <w:r w:rsidR="00197B9B" w:rsidRPr="003427A6">
        <w:rPr>
          <w:rFonts w:ascii="Candara" w:hAnsi="Candara"/>
          <w:color w:val="0D0D0D" w:themeColor="text1" w:themeTint="F2"/>
        </w:rPr>
        <w:t>randomized</w:t>
      </w:r>
      <w:r w:rsidR="005D1996" w:rsidRPr="003427A6">
        <w:rPr>
          <w:rFonts w:ascii="Candara" w:hAnsi="Candara"/>
          <w:color w:val="0D0D0D" w:themeColor="text1" w:themeTint="F2"/>
        </w:rPr>
        <w:t xml:space="preserve"> 7020 patients with </w:t>
      </w:r>
      <w:r w:rsidR="00E86D08" w:rsidRPr="003427A6">
        <w:rPr>
          <w:rFonts w:ascii="Candara" w:hAnsi="Candara"/>
          <w:color w:val="0D0D0D" w:themeColor="text1" w:themeTint="F2"/>
        </w:rPr>
        <w:t>T2</w:t>
      </w:r>
      <w:r w:rsidRPr="003427A6">
        <w:rPr>
          <w:rFonts w:ascii="Candara" w:hAnsi="Candara"/>
          <w:color w:val="0D0D0D" w:themeColor="text1" w:themeTint="F2"/>
        </w:rPr>
        <w:t>DM</w:t>
      </w:r>
      <w:r w:rsidR="0061582E" w:rsidRPr="003427A6">
        <w:rPr>
          <w:rFonts w:ascii="Candara" w:hAnsi="Candara"/>
          <w:color w:val="0D0D0D" w:themeColor="text1" w:themeTint="F2"/>
        </w:rPr>
        <w:t>,</w:t>
      </w:r>
      <w:r w:rsidR="0036030E" w:rsidRPr="003427A6">
        <w:rPr>
          <w:rFonts w:ascii="Candara" w:hAnsi="Candara"/>
          <w:color w:val="0D0D0D" w:themeColor="text1" w:themeTint="F2"/>
        </w:rPr>
        <w:t xml:space="preserve"> </w:t>
      </w:r>
      <w:r w:rsidR="0061582E" w:rsidRPr="003427A6">
        <w:rPr>
          <w:rFonts w:ascii="Candara" w:hAnsi="Candara"/>
          <w:color w:val="0D0D0D" w:themeColor="text1" w:themeTint="F2"/>
        </w:rPr>
        <w:t xml:space="preserve">estimated glomerular </w:t>
      </w:r>
      <w:r w:rsidR="0061582E" w:rsidRPr="003427A6">
        <w:rPr>
          <w:rFonts w:ascii="Candara" w:hAnsi="Candara"/>
          <w:color w:val="0D0D0D" w:themeColor="text1" w:themeTint="F2"/>
        </w:rPr>
        <w:lastRenderedPageBreak/>
        <w:t>filtration rate (</w:t>
      </w:r>
      <w:r w:rsidR="0036030E" w:rsidRPr="003427A6">
        <w:rPr>
          <w:rFonts w:ascii="Candara" w:hAnsi="Candara"/>
          <w:color w:val="0D0D0D" w:themeColor="text1" w:themeTint="F2"/>
        </w:rPr>
        <w:t>eGFR</w:t>
      </w:r>
      <w:r w:rsidR="0061582E" w:rsidRPr="003427A6">
        <w:rPr>
          <w:rFonts w:ascii="Candara" w:hAnsi="Candara"/>
          <w:color w:val="0D0D0D" w:themeColor="text1" w:themeTint="F2"/>
        </w:rPr>
        <w:t>)</w:t>
      </w:r>
      <w:r w:rsidR="0036030E" w:rsidRPr="003427A6">
        <w:rPr>
          <w:rFonts w:ascii="Candara" w:hAnsi="Candara"/>
          <w:color w:val="0D0D0D" w:themeColor="text1" w:themeTint="F2"/>
        </w:rPr>
        <w:t>&gt;30 ml/min/1.73 m</w:t>
      </w:r>
      <w:r w:rsidR="0036030E" w:rsidRPr="003427A6">
        <w:rPr>
          <w:rFonts w:ascii="Candara" w:hAnsi="Candara"/>
          <w:color w:val="0D0D0D" w:themeColor="text1" w:themeTint="F2"/>
          <w:vertAlign w:val="superscript"/>
        </w:rPr>
        <w:t>2</w:t>
      </w:r>
      <w:r w:rsidRPr="003427A6">
        <w:rPr>
          <w:rFonts w:ascii="Candara" w:hAnsi="Candara"/>
          <w:color w:val="0D0D0D" w:themeColor="text1" w:themeTint="F2"/>
        </w:rPr>
        <w:t xml:space="preserve"> and </w:t>
      </w:r>
      <w:r w:rsidR="0061582E" w:rsidRPr="003427A6">
        <w:rPr>
          <w:rFonts w:ascii="Candara" w:hAnsi="Candara"/>
          <w:color w:val="0D0D0D" w:themeColor="text1" w:themeTint="F2"/>
        </w:rPr>
        <w:t>cardiovascular disease (</w:t>
      </w:r>
      <w:r w:rsidR="00CB6DB8" w:rsidRPr="003427A6">
        <w:rPr>
          <w:rFonts w:ascii="Candara" w:hAnsi="Candara"/>
          <w:color w:val="0D0D0D" w:themeColor="text1" w:themeTint="F2"/>
        </w:rPr>
        <w:t>CVD</w:t>
      </w:r>
      <w:r w:rsidR="0061582E" w:rsidRPr="003427A6">
        <w:rPr>
          <w:rFonts w:ascii="Candara" w:hAnsi="Candara"/>
          <w:color w:val="0D0D0D" w:themeColor="text1" w:themeTint="F2"/>
        </w:rPr>
        <w:t>)</w:t>
      </w:r>
      <w:r w:rsidRPr="003427A6">
        <w:rPr>
          <w:rFonts w:ascii="Candara" w:hAnsi="Candara"/>
          <w:color w:val="0D0D0D" w:themeColor="text1" w:themeTint="F2"/>
        </w:rPr>
        <w:t xml:space="preserve"> </w:t>
      </w:r>
      <w:r w:rsidR="00197B9B" w:rsidRPr="003427A6">
        <w:rPr>
          <w:rFonts w:ascii="Candara" w:hAnsi="Candara"/>
          <w:color w:val="0D0D0D" w:themeColor="text1" w:themeTint="F2"/>
        </w:rPr>
        <w:t>to</w:t>
      </w:r>
      <w:r w:rsidR="00F23D6B" w:rsidRPr="003427A6">
        <w:rPr>
          <w:rFonts w:ascii="Candara" w:hAnsi="Candara"/>
          <w:color w:val="0D0D0D" w:themeColor="text1" w:themeTint="F2"/>
        </w:rPr>
        <w:t xml:space="preserve"> 10mg or 25</w:t>
      </w:r>
      <w:r w:rsidRPr="003427A6">
        <w:rPr>
          <w:rFonts w:ascii="Candara" w:hAnsi="Candara"/>
          <w:color w:val="0D0D0D" w:themeColor="text1" w:themeTint="F2"/>
        </w:rPr>
        <w:t xml:space="preserve">mg of empagliflozin daily </w:t>
      </w:r>
      <w:r w:rsidR="00197B9B" w:rsidRPr="003427A6">
        <w:rPr>
          <w:rFonts w:ascii="Candara" w:hAnsi="Candara"/>
          <w:color w:val="0D0D0D" w:themeColor="text1" w:themeTint="F2"/>
        </w:rPr>
        <w:t>or</w:t>
      </w:r>
      <w:r w:rsidRPr="003427A6">
        <w:rPr>
          <w:rFonts w:ascii="Candara" w:hAnsi="Candara"/>
          <w:color w:val="0D0D0D" w:themeColor="text1" w:themeTint="F2"/>
        </w:rPr>
        <w:t xml:space="preserve"> to placebo</w:t>
      </w:r>
      <w:r w:rsidR="00545350" w:rsidRPr="003427A6">
        <w:rPr>
          <w:rFonts w:ascii="Candara" w:hAnsi="Candara"/>
          <w:color w:val="0D0D0D" w:themeColor="text1" w:themeTint="F2"/>
        </w:rPr>
        <w:t>.</w:t>
      </w:r>
      <w:r w:rsidR="00E552D7" w:rsidRPr="003427A6">
        <w:rPr>
          <w:rStyle w:val="af8"/>
          <w:rFonts w:ascii="Candara" w:hAnsi="Candara"/>
          <w:color w:val="0D0D0D" w:themeColor="text1" w:themeTint="F2"/>
        </w:rPr>
        <w:endnoteReference w:id="25"/>
      </w:r>
      <w:r w:rsidR="00E552D7" w:rsidRPr="003427A6">
        <w:rPr>
          <w:rFonts w:ascii="Candara" w:hAnsi="Candara"/>
          <w:color w:val="0D0D0D" w:themeColor="text1" w:themeTint="F2"/>
        </w:rPr>
        <w:t xml:space="preserve"> </w:t>
      </w:r>
      <w:r w:rsidR="00545350" w:rsidRPr="003427A6">
        <w:rPr>
          <w:rFonts w:ascii="Candara" w:hAnsi="Candara"/>
          <w:color w:val="0D0D0D" w:themeColor="text1" w:themeTint="F2"/>
        </w:rPr>
        <w:t xml:space="preserve">The primary </w:t>
      </w:r>
      <w:r w:rsidR="0061582E" w:rsidRPr="003427A6">
        <w:rPr>
          <w:rFonts w:ascii="Candara" w:hAnsi="Candara"/>
          <w:color w:val="0D0D0D" w:themeColor="text1" w:themeTint="F2"/>
        </w:rPr>
        <w:t xml:space="preserve">composite </w:t>
      </w:r>
      <w:r w:rsidR="00966F1C" w:rsidRPr="003427A6">
        <w:rPr>
          <w:rFonts w:ascii="Candara" w:hAnsi="Candara"/>
          <w:color w:val="0D0D0D" w:themeColor="text1" w:themeTint="F2"/>
        </w:rPr>
        <w:t>endpoint</w:t>
      </w:r>
      <w:r w:rsidR="00197B9B" w:rsidRPr="003427A6">
        <w:rPr>
          <w:rFonts w:ascii="Candara" w:hAnsi="Candara"/>
          <w:color w:val="0D0D0D" w:themeColor="text1" w:themeTint="F2"/>
        </w:rPr>
        <w:t xml:space="preserve"> of</w:t>
      </w:r>
      <w:r w:rsidR="00545350" w:rsidRPr="003427A6">
        <w:rPr>
          <w:rFonts w:ascii="Candara" w:hAnsi="Candara"/>
          <w:color w:val="0D0D0D" w:themeColor="text1" w:themeTint="F2"/>
        </w:rPr>
        <w:t xml:space="preserve"> death from </w:t>
      </w:r>
      <w:r w:rsidR="0067187B" w:rsidRPr="003427A6">
        <w:rPr>
          <w:rFonts w:ascii="Candara" w:hAnsi="Candara"/>
          <w:color w:val="0D0D0D" w:themeColor="text1" w:themeTint="F2"/>
        </w:rPr>
        <w:t>cardiovascular</w:t>
      </w:r>
      <w:r w:rsidR="00545350" w:rsidRPr="003427A6">
        <w:rPr>
          <w:rFonts w:ascii="Candara" w:hAnsi="Candara"/>
          <w:color w:val="0D0D0D" w:themeColor="text1" w:themeTint="F2"/>
        </w:rPr>
        <w:t xml:space="preserve"> causes, nonfatal </w:t>
      </w:r>
      <w:r w:rsidR="00FE775B" w:rsidRPr="003427A6">
        <w:rPr>
          <w:rFonts w:ascii="Candara" w:hAnsi="Candara"/>
          <w:color w:val="0D0D0D" w:themeColor="text1" w:themeTint="F2"/>
        </w:rPr>
        <w:t>MI</w:t>
      </w:r>
      <w:r w:rsidR="00545350" w:rsidRPr="003427A6">
        <w:rPr>
          <w:rFonts w:ascii="Candara" w:hAnsi="Candara"/>
          <w:color w:val="0D0D0D" w:themeColor="text1" w:themeTint="F2"/>
        </w:rPr>
        <w:t xml:space="preserve">, or nonfatal </w:t>
      </w:r>
      <w:r w:rsidR="00F23D6B" w:rsidRPr="003427A6">
        <w:rPr>
          <w:rFonts w:ascii="Candara" w:hAnsi="Candara"/>
          <w:color w:val="0D0D0D" w:themeColor="text1" w:themeTint="F2"/>
        </w:rPr>
        <w:t xml:space="preserve">stroke </w:t>
      </w:r>
      <w:r w:rsidR="0061582E" w:rsidRPr="003427A6">
        <w:rPr>
          <w:rFonts w:ascii="Candara" w:hAnsi="Candara"/>
          <w:color w:val="0D0D0D" w:themeColor="text1" w:themeTint="F2"/>
        </w:rPr>
        <w:t>occurred</w:t>
      </w:r>
      <w:r w:rsidR="00F23D6B" w:rsidRPr="003427A6">
        <w:rPr>
          <w:rFonts w:ascii="Candara" w:hAnsi="Candara"/>
          <w:color w:val="0D0D0D" w:themeColor="text1" w:themeTint="F2"/>
        </w:rPr>
        <w:t xml:space="preserve"> in </w:t>
      </w:r>
      <w:r w:rsidR="00545350" w:rsidRPr="003427A6">
        <w:rPr>
          <w:rFonts w:ascii="Candara" w:hAnsi="Candara"/>
          <w:color w:val="0D0D0D" w:themeColor="text1" w:themeTint="F2"/>
        </w:rPr>
        <w:t xml:space="preserve">10.5% </w:t>
      </w:r>
      <w:r w:rsidR="00966F1C" w:rsidRPr="003427A6">
        <w:rPr>
          <w:rFonts w:ascii="Candara" w:hAnsi="Candara"/>
          <w:color w:val="0D0D0D" w:themeColor="text1" w:themeTint="F2"/>
        </w:rPr>
        <w:t xml:space="preserve">in the pooled empagliflozin group </w:t>
      </w:r>
      <w:r w:rsidR="00545350" w:rsidRPr="003427A6">
        <w:rPr>
          <w:rFonts w:ascii="Candara" w:hAnsi="Candara"/>
          <w:color w:val="0D0D0D" w:themeColor="text1" w:themeTint="F2"/>
        </w:rPr>
        <w:t>vs</w:t>
      </w:r>
      <w:r w:rsidR="00F50C02" w:rsidRPr="003427A6">
        <w:rPr>
          <w:rFonts w:ascii="Candara" w:hAnsi="Candara"/>
          <w:color w:val="0D0D0D" w:themeColor="text1" w:themeTint="F2"/>
        </w:rPr>
        <w:t>.</w:t>
      </w:r>
      <w:r w:rsidR="00545350" w:rsidRPr="003427A6">
        <w:rPr>
          <w:rFonts w:ascii="Candara" w:hAnsi="Candara"/>
          <w:color w:val="0D0D0D" w:themeColor="text1" w:themeTint="F2"/>
        </w:rPr>
        <w:t xml:space="preserve"> 12.1% </w:t>
      </w:r>
      <w:r w:rsidR="00AA1689" w:rsidRPr="003427A6">
        <w:rPr>
          <w:rFonts w:ascii="Candara" w:hAnsi="Candara"/>
          <w:color w:val="0D0D0D" w:themeColor="text1" w:themeTint="F2"/>
        </w:rPr>
        <w:t xml:space="preserve">in </w:t>
      </w:r>
      <w:r w:rsidR="00B22A23" w:rsidRPr="003427A6">
        <w:rPr>
          <w:rFonts w:ascii="Candara" w:hAnsi="Candara"/>
          <w:color w:val="0D0D0D" w:themeColor="text1" w:themeTint="F2"/>
        </w:rPr>
        <w:t xml:space="preserve">placebo </w:t>
      </w:r>
      <w:r w:rsidR="00F23D6B" w:rsidRPr="003427A6">
        <w:rPr>
          <w:rFonts w:ascii="Candara" w:hAnsi="Candara"/>
          <w:color w:val="0D0D0D" w:themeColor="text1" w:themeTint="F2"/>
        </w:rPr>
        <w:t>(</w:t>
      </w:r>
      <w:r w:rsidR="00F23D6B" w:rsidRPr="003427A6">
        <w:rPr>
          <w:rFonts w:ascii="Candara" w:eastAsia="Times New Roman" w:hAnsi="Candara" w:cs="Arial"/>
          <w:color w:val="0D0D0D" w:themeColor="text1" w:themeTint="F2"/>
          <w:shd w:val="clear" w:color="auto" w:fill="FFFFFF"/>
        </w:rPr>
        <w:t>hazard ratio [HR</w:t>
      </w:r>
      <w:r w:rsidR="002E1261" w:rsidRPr="003427A6">
        <w:rPr>
          <w:rFonts w:ascii="Candara" w:eastAsia="Times New Roman" w:hAnsi="Candara" w:cs="Arial"/>
          <w:color w:val="0D0D0D" w:themeColor="text1" w:themeTint="F2"/>
          <w:shd w:val="clear" w:color="auto" w:fill="FFFFFF"/>
        </w:rPr>
        <w:t xml:space="preserve">] = </w:t>
      </w:r>
      <w:r w:rsidR="00F23D6B" w:rsidRPr="003427A6">
        <w:rPr>
          <w:rFonts w:ascii="Candara" w:eastAsia="Times New Roman" w:hAnsi="Candara" w:cs="Arial"/>
          <w:color w:val="0D0D0D" w:themeColor="text1" w:themeTint="F2"/>
          <w:shd w:val="clear" w:color="auto" w:fill="FFFFFF"/>
        </w:rPr>
        <w:t>0.86</w:t>
      </w:r>
      <w:r w:rsidR="00D84037" w:rsidRPr="003427A6">
        <w:rPr>
          <w:rFonts w:ascii="Candara" w:eastAsia="Times New Roman" w:hAnsi="Candara" w:cs="Arial"/>
          <w:color w:val="0D0D0D" w:themeColor="text1" w:themeTint="F2"/>
          <w:shd w:val="clear" w:color="auto" w:fill="FFFFFF"/>
        </w:rPr>
        <w:t>,</w:t>
      </w:r>
      <w:r w:rsidR="00F23D6B" w:rsidRPr="003427A6">
        <w:rPr>
          <w:rFonts w:ascii="Candara" w:eastAsia="Times New Roman" w:hAnsi="Candara" w:cs="Arial"/>
          <w:color w:val="0D0D0D" w:themeColor="text1" w:themeTint="F2"/>
          <w:shd w:val="clear" w:color="auto" w:fill="FFFFFF"/>
        </w:rPr>
        <w:t xml:space="preserve"> 95% confidence inter</w:t>
      </w:r>
      <w:r w:rsidR="0067187B" w:rsidRPr="003427A6">
        <w:rPr>
          <w:rFonts w:ascii="Candara" w:eastAsia="Times New Roman" w:hAnsi="Candara" w:cs="Arial"/>
          <w:color w:val="0D0D0D" w:themeColor="text1" w:themeTint="F2"/>
          <w:shd w:val="clear" w:color="auto" w:fill="FFFFFF"/>
        </w:rPr>
        <w:t>val [CI</w:t>
      </w:r>
      <w:r w:rsidR="00D84037" w:rsidRPr="003427A6">
        <w:rPr>
          <w:rFonts w:ascii="Candara" w:eastAsia="Times New Roman" w:hAnsi="Candara" w:cs="Arial"/>
          <w:color w:val="0D0D0D" w:themeColor="text1" w:themeTint="F2"/>
          <w:shd w:val="clear" w:color="auto" w:fill="FFFFFF"/>
        </w:rPr>
        <w:t xml:space="preserve">] = </w:t>
      </w:r>
      <w:r w:rsidR="0067187B" w:rsidRPr="003427A6">
        <w:rPr>
          <w:rFonts w:ascii="Candara" w:eastAsia="Times New Roman" w:hAnsi="Candara" w:cs="Arial"/>
          <w:color w:val="0D0D0D" w:themeColor="text1" w:themeTint="F2"/>
          <w:shd w:val="clear" w:color="auto" w:fill="FFFFFF"/>
        </w:rPr>
        <w:t>0.74</w:t>
      </w:r>
      <w:r w:rsidR="00D84037" w:rsidRPr="003427A6">
        <w:rPr>
          <w:rFonts w:ascii="Candara" w:eastAsia="Times New Roman" w:hAnsi="Candara" w:cs="Arial"/>
          <w:color w:val="0D0D0D" w:themeColor="text1" w:themeTint="F2"/>
          <w:shd w:val="clear" w:color="auto" w:fill="FFFFFF"/>
        </w:rPr>
        <w:t>-</w:t>
      </w:r>
      <w:r w:rsidR="0067187B" w:rsidRPr="003427A6">
        <w:rPr>
          <w:rFonts w:ascii="Candara" w:eastAsia="Times New Roman" w:hAnsi="Candara" w:cs="Arial"/>
          <w:color w:val="0D0D0D" w:themeColor="text1" w:themeTint="F2"/>
          <w:shd w:val="clear" w:color="auto" w:fill="FFFFFF"/>
        </w:rPr>
        <w:t>0.99</w:t>
      </w:r>
      <w:r w:rsidR="006F7841" w:rsidRPr="003427A6">
        <w:rPr>
          <w:rFonts w:ascii="Candara" w:eastAsia="Times New Roman" w:hAnsi="Candara" w:cs="Arial"/>
          <w:color w:val="0D0D0D" w:themeColor="text1" w:themeTint="F2"/>
          <w:shd w:val="clear" w:color="auto" w:fill="FFFFFF"/>
        </w:rPr>
        <w:t>.</w:t>
      </w:r>
      <w:r w:rsidR="00F23D6B" w:rsidRPr="003427A6">
        <w:rPr>
          <w:rFonts w:ascii="Candara" w:eastAsia="Times New Roman" w:hAnsi="Candara" w:cs="Arial"/>
          <w:color w:val="0D0D0D" w:themeColor="text1" w:themeTint="F2"/>
          <w:shd w:val="clear" w:color="auto" w:fill="FFFFFF"/>
        </w:rPr>
        <w:t xml:space="preserve"> </w:t>
      </w:r>
      <w:r w:rsidR="001000FB" w:rsidRPr="003427A6">
        <w:rPr>
          <w:rFonts w:ascii="Candara" w:eastAsia="Times New Roman" w:hAnsi="Candara" w:cs="Arial"/>
          <w:color w:val="0D0D0D" w:themeColor="text1" w:themeTint="F2"/>
          <w:shd w:val="clear" w:color="auto" w:fill="FFFFFF"/>
        </w:rPr>
        <w:t>p</w:t>
      </w:r>
      <w:r w:rsidR="00F23D6B" w:rsidRPr="003427A6">
        <w:rPr>
          <w:rFonts w:ascii="Candara" w:eastAsia="Times New Roman" w:hAnsi="Candara" w:cs="Arial"/>
          <w:color w:val="0D0D0D" w:themeColor="text1" w:themeTint="F2"/>
          <w:shd w:val="clear" w:color="auto" w:fill="FFFFFF"/>
        </w:rPr>
        <w:t>=0.04</w:t>
      </w:r>
      <w:r w:rsidR="00B22A23" w:rsidRPr="003427A6">
        <w:rPr>
          <w:rFonts w:ascii="Candara" w:hAnsi="Candara"/>
          <w:color w:val="0D0D0D" w:themeColor="text1" w:themeTint="F2"/>
        </w:rPr>
        <w:t>)</w:t>
      </w:r>
      <w:r w:rsidR="00AE04D4" w:rsidRPr="003427A6">
        <w:rPr>
          <w:rFonts w:ascii="Candara" w:hAnsi="Candara"/>
          <w:color w:val="0D0D0D" w:themeColor="text1" w:themeTint="F2"/>
        </w:rPr>
        <w:t xml:space="preserve"> in the 3.1 year follow up period</w:t>
      </w:r>
      <w:r w:rsidR="00C75647" w:rsidRPr="003427A6">
        <w:rPr>
          <w:rFonts w:ascii="Candara" w:hAnsi="Candara"/>
          <w:color w:val="0D0D0D" w:themeColor="text1" w:themeTint="F2"/>
        </w:rPr>
        <w:t xml:space="preserve">. </w:t>
      </w:r>
      <w:r w:rsidR="00F50C02" w:rsidRPr="003427A6">
        <w:rPr>
          <w:rFonts w:ascii="Candara" w:hAnsi="Candara"/>
          <w:color w:val="0D0D0D" w:themeColor="text1" w:themeTint="F2"/>
        </w:rPr>
        <w:t xml:space="preserve">There </w:t>
      </w:r>
      <w:r w:rsidR="00966F1C" w:rsidRPr="003427A6">
        <w:rPr>
          <w:rFonts w:ascii="Candara" w:hAnsi="Candara"/>
          <w:color w:val="0D0D0D" w:themeColor="text1" w:themeTint="F2"/>
        </w:rPr>
        <w:t>were</w:t>
      </w:r>
      <w:r w:rsidR="00F50C02" w:rsidRPr="003427A6">
        <w:rPr>
          <w:rFonts w:ascii="Candara" w:hAnsi="Candara"/>
          <w:color w:val="0D0D0D" w:themeColor="text1" w:themeTint="F2"/>
        </w:rPr>
        <w:t xml:space="preserve"> no </w:t>
      </w:r>
      <w:r w:rsidR="00F23D6B" w:rsidRPr="003427A6">
        <w:rPr>
          <w:rFonts w:ascii="Candara" w:hAnsi="Candara"/>
          <w:color w:val="0D0D0D" w:themeColor="text1" w:themeTint="F2"/>
        </w:rPr>
        <w:t xml:space="preserve">significant </w:t>
      </w:r>
      <w:r w:rsidR="00F50C02" w:rsidRPr="003427A6">
        <w:rPr>
          <w:rFonts w:ascii="Candara" w:hAnsi="Candara"/>
          <w:color w:val="0D0D0D" w:themeColor="text1" w:themeTint="F2"/>
        </w:rPr>
        <w:t xml:space="preserve">differences in rates of </w:t>
      </w:r>
      <w:r w:rsidR="00FE775B" w:rsidRPr="003427A6">
        <w:rPr>
          <w:rFonts w:ascii="Candara" w:hAnsi="Candara"/>
          <w:color w:val="0D0D0D" w:themeColor="text1" w:themeTint="F2"/>
        </w:rPr>
        <w:t>MI</w:t>
      </w:r>
      <w:r w:rsidR="00391831" w:rsidRPr="003427A6">
        <w:rPr>
          <w:rFonts w:ascii="Candara" w:hAnsi="Candara"/>
          <w:color w:val="0D0D0D" w:themeColor="text1" w:themeTint="F2"/>
        </w:rPr>
        <w:t xml:space="preserve"> or stroke</w:t>
      </w:r>
      <w:r w:rsidR="00F86191" w:rsidRPr="003427A6">
        <w:rPr>
          <w:rFonts w:ascii="Candara" w:hAnsi="Candara"/>
          <w:color w:val="0D0D0D" w:themeColor="text1" w:themeTint="F2"/>
        </w:rPr>
        <w:t>,</w:t>
      </w:r>
      <w:r w:rsidR="00391831" w:rsidRPr="003427A6">
        <w:rPr>
          <w:rFonts w:ascii="Candara" w:hAnsi="Candara"/>
          <w:color w:val="0D0D0D" w:themeColor="text1" w:themeTint="F2"/>
        </w:rPr>
        <w:t xml:space="preserve"> but</w:t>
      </w:r>
      <w:r w:rsidR="00153DFA" w:rsidRPr="003427A6">
        <w:rPr>
          <w:rFonts w:ascii="Candara" w:hAnsi="Candara"/>
          <w:color w:val="0D0D0D" w:themeColor="text1" w:themeTint="F2"/>
        </w:rPr>
        <w:t xml:space="preserve"> </w:t>
      </w:r>
      <w:r w:rsidR="00F50C02" w:rsidRPr="003427A6">
        <w:rPr>
          <w:rFonts w:ascii="Candara" w:hAnsi="Candara"/>
          <w:color w:val="0D0D0D" w:themeColor="text1" w:themeTint="F2"/>
        </w:rPr>
        <w:t xml:space="preserve">there was a </w:t>
      </w:r>
      <w:r w:rsidR="0067187B" w:rsidRPr="003427A6">
        <w:rPr>
          <w:rFonts w:ascii="Candara" w:hAnsi="Candara"/>
          <w:color w:val="0D0D0D" w:themeColor="text1" w:themeTint="F2"/>
        </w:rPr>
        <w:t xml:space="preserve">38% </w:t>
      </w:r>
      <w:r w:rsidR="00F50C02" w:rsidRPr="003427A6">
        <w:rPr>
          <w:rFonts w:ascii="Candara" w:hAnsi="Candara"/>
          <w:color w:val="0D0D0D" w:themeColor="text1" w:themeTint="F2"/>
        </w:rPr>
        <w:t xml:space="preserve">lower </w:t>
      </w:r>
      <w:r w:rsidR="00966F1C" w:rsidRPr="003427A6">
        <w:rPr>
          <w:rFonts w:ascii="Candara" w:hAnsi="Candara"/>
          <w:color w:val="0D0D0D" w:themeColor="text1" w:themeTint="F2"/>
        </w:rPr>
        <w:t>risk</w:t>
      </w:r>
      <w:r w:rsidR="00F50C02" w:rsidRPr="003427A6">
        <w:rPr>
          <w:rFonts w:ascii="Candara" w:hAnsi="Candara"/>
          <w:color w:val="0D0D0D" w:themeColor="text1" w:themeTint="F2"/>
        </w:rPr>
        <w:t xml:space="preserve"> of </w:t>
      </w:r>
      <w:r w:rsidR="0067187B" w:rsidRPr="003427A6">
        <w:rPr>
          <w:rFonts w:ascii="Candara" w:hAnsi="Candara"/>
          <w:color w:val="0D0D0D" w:themeColor="text1" w:themeTint="F2"/>
        </w:rPr>
        <w:t>cardiovascular</w:t>
      </w:r>
      <w:r w:rsidR="00966F1C" w:rsidRPr="003427A6">
        <w:rPr>
          <w:rFonts w:ascii="Candara" w:hAnsi="Candara"/>
          <w:color w:val="0D0D0D" w:themeColor="text1" w:themeTint="F2"/>
        </w:rPr>
        <w:t xml:space="preserve"> </w:t>
      </w:r>
      <w:r w:rsidR="00F50C02" w:rsidRPr="003427A6">
        <w:rPr>
          <w:rFonts w:ascii="Candara" w:hAnsi="Candara"/>
          <w:color w:val="0D0D0D" w:themeColor="text1" w:themeTint="F2"/>
        </w:rPr>
        <w:t>death and</w:t>
      </w:r>
      <w:r w:rsidR="00966F1C" w:rsidRPr="003427A6">
        <w:rPr>
          <w:rFonts w:ascii="Candara" w:hAnsi="Candara"/>
          <w:color w:val="0D0D0D" w:themeColor="text1" w:themeTint="F2"/>
        </w:rPr>
        <w:t xml:space="preserve"> </w:t>
      </w:r>
      <w:r w:rsidR="00AA1689" w:rsidRPr="003427A6">
        <w:rPr>
          <w:rFonts w:ascii="Candara" w:hAnsi="Candara"/>
          <w:color w:val="0D0D0D" w:themeColor="text1" w:themeTint="F2"/>
        </w:rPr>
        <w:t xml:space="preserve">a </w:t>
      </w:r>
      <w:r w:rsidR="0067187B" w:rsidRPr="003427A6">
        <w:rPr>
          <w:rFonts w:ascii="Candara" w:hAnsi="Candara"/>
          <w:color w:val="0D0D0D" w:themeColor="text1" w:themeTint="F2"/>
        </w:rPr>
        <w:t xml:space="preserve">32% </w:t>
      </w:r>
      <w:r w:rsidR="00284785" w:rsidRPr="003427A6">
        <w:rPr>
          <w:rFonts w:ascii="Candara" w:hAnsi="Candara"/>
          <w:color w:val="0D0D0D" w:themeColor="text1" w:themeTint="F2"/>
        </w:rPr>
        <w:t xml:space="preserve">risk reduction </w:t>
      </w:r>
      <w:r w:rsidR="00AA1689" w:rsidRPr="003427A6">
        <w:rPr>
          <w:rFonts w:ascii="Candara" w:hAnsi="Candara"/>
          <w:color w:val="0D0D0D" w:themeColor="text1" w:themeTint="F2"/>
        </w:rPr>
        <w:t xml:space="preserve">for </w:t>
      </w:r>
      <w:r w:rsidR="00966F1C" w:rsidRPr="003427A6">
        <w:rPr>
          <w:rFonts w:ascii="Candara" w:hAnsi="Candara"/>
          <w:color w:val="0D0D0D" w:themeColor="text1" w:themeTint="F2"/>
        </w:rPr>
        <w:t>all-cause</w:t>
      </w:r>
      <w:r w:rsidR="00F50C02" w:rsidRPr="003427A6">
        <w:rPr>
          <w:rFonts w:ascii="Candara" w:hAnsi="Candara"/>
          <w:color w:val="0D0D0D" w:themeColor="text1" w:themeTint="F2"/>
        </w:rPr>
        <w:t xml:space="preserve"> death </w:t>
      </w:r>
      <w:r w:rsidR="00966F1C" w:rsidRPr="003427A6">
        <w:rPr>
          <w:rFonts w:ascii="Candara" w:hAnsi="Candara"/>
          <w:color w:val="0D0D0D" w:themeColor="text1" w:themeTint="F2"/>
        </w:rPr>
        <w:t>(</w:t>
      </w:r>
      <w:r w:rsidR="00AA1689" w:rsidRPr="003427A6">
        <w:rPr>
          <w:rFonts w:ascii="Candara" w:hAnsi="Candara"/>
          <w:color w:val="0D0D0D" w:themeColor="text1" w:themeTint="F2"/>
        </w:rPr>
        <w:t>p</w:t>
      </w:r>
      <w:r w:rsidR="006F7841" w:rsidRPr="003427A6">
        <w:rPr>
          <w:rFonts w:ascii="Candara" w:hAnsi="Candara"/>
          <w:color w:val="0D0D0D" w:themeColor="text1" w:themeTint="F2"/>
        </w:rPr>
        <w:t>-values</w:t>
      </w:r>
      <w:r w:rsidR="00F23D6B" w:rsidRPr="003427A6">
        <w:rPr>
          <w:rFonts w:ascii="Candara" w:hAnsi="Candara"/>
          <w:color w:val="0D0D0D" w:themeColor="text1" w:themeTint="F2"/>
        </w:rPr>
        <w:t>&lt;0.001</w:t>
      </w:r>
      <w:r w:rsidR="00F50C02" w:rsidRPr="003427A6">
        <w:rPr>
          <w:rFonts w:ascii="Candara" w:hAnsi="Candara"/>
          <w:color w:val="0D0D0D" w:themeColor="text1" w:themeTint="F2"/>
        </w:rPr>
        <w:t>)</w:t>
      </w:r>
      <w:r w:rsidR="00966F1C" w:rsidRPr="003427A6">
        <w:rPr>
          <w:rFonts w:ascii="Candara" w:hAnsi="Candara"/>
          <w:color w:val="0D0D0D" w:themeColor="text1" w:themeTint="F2"/>
        </w:rPr>
        <w:t xml:space="preserve"> with empagliflozin</w:t>
      </w:r>
      <w:r w:rsidR="00831F5A" w:rsidRPr="003427A6">
        <w:rPr>
          <w:rFonts w:ascii="Candara" w:hAnsi="Candara"/>
          <w:color w:val="0D0D0D" w:themeColor="text1" w:themeTint="F2"/>
        </w:rPr>
        <w:t>.</w:t>
      </w:r>
      <w:r w:rsidR="007222F5" w:rsidRPr="003427A6">
        <w:rPr>
          <w:rFonts w:ascii="Candara" w:hAnsi="Candara"/>
          <w:color w:val="0D0D0D" w:themeColor="text1" w:themeTint="F2"/>
        </w:rPr>
        <w:t xml:space="preserve">   The mortality effects were concordant with</w:t>
      </w:r>
      <w:r w:rsidR="00E552D7" w:rsidRPr="003427A6">
        <w:rPr>
          <w:rFonts w:ascii="Candara" w:hAnsi="Candara"/>
          <w:color w:val="0D0D0D" w:themeColor="text1" w:themeTint="F2"/>
        </w:rPr>
        <w:t xml:space="preserve"> a reduction</w:t>
      </w:r>
      <w:r w:rsidR="007222F5" w:rsidRPr="003427A6">
        <w:rPr>
          <w:rFonts w:ascii="Candara" w:hAnsi="Candara"/>
          <w:color w:val="0D0D0D" w:themeColor="text1" w:themeTint="F2"/>
        </w:rPr>
        <w:t xml:space="preserve"> </w:t>
      </w:r>
      <w:r w:rsidR="00AA1689" w:rsidRPr="003427A6">
        <w:rPr>
          <w:rFonts w:ascii="Candara" w:hAnsi="Candara"/>
          <w:color w:val="0D0D0D" w:themeColor="text1" w:themeTint="F2"/>
        </w:rPr>
        <w:t xml:space="preserve">of </w:t>
      </w:r>
      <w:r w:rsidR="009558DB" w:rsidRPr="003427A6">
        <w:rPr>
          <w:rFonts w:ascii="Candara" w:hAnsi="Candara"/>
          <w:color w:val="0D0D0D" w:themeColor="text1" w:themeTint="F2"/>
        </w:rPr>
        <w:t xml:space="preserve">HF </w:t>
      </w:r>
      <w:r w:rsidR="00B22A23" w:rsidRPr="003427A6">
        <w:rPr>
          <w:rFonts w:ascii="Candara" w:hAnsi="Candara"/>
          <w:color w:val="0D0D0D" w:themeColor="text1" w:themeTint="F2"/>
        </w:rPr>
        <w:t>hospitalization</w:t>
      </w:r>
      <w:r w:rsidR="00197B9B" w:rsidRPr="003427A6">
        <w:rPr>
          <w:rFonts w:ascii="Candara" w:hAnsi="Candara"/>
          <w:color w:val="0D0D0D" w:themeColor="text1" w:themeTint="F2"/>
        </w:rPr>
        <w:t xml:space="preserve"> by 35% and </w:t>
      </w:r>
      <w:r w:rsidR="00F23D6B" w:rsidRPr="003427A6">
        <w:rPr>
          <w:rFonts w:ascii="Candara" w:hAnsi="Candara" w:cs="Times New Roman"/>
          <w:color w:val="0D0D0D" w:themeColor="text1" w:themeTint="F2"/>
        </w:rPr>
        <w:t>HF death or hospitalization</w:t>
      </w:r>
      <w:r w:rsidR="00197B9B" w:rsidRPr="003427A6">
        <w:rPr>
          <w:rFonts w:ascii="Candara" w:hAnsi="Candara" w:cs="Times New Roman"/>
          <w:color w:val="0D0D0D" w:themeColor="text1" w:themeTint="F2"/>
        </w:rPr>
        <w:t xml:space="preserve"> by 39%</w:t>
      </w:r>
      <w:r w:rsidR="00F23D6B" w:rsidRPr="003427A6">
        <w:rPr>
          <w:rFonts w:ascii="Candara" w:hAnsi="Candara" w:cs="Times New Roman"/>
          <w:color w:val="0D0D0D" w:themeColor="text1" w:themeTint="F2"/>
        </w:rPr>
        <w:t xml:space="preserve"> (</w:t>
      </w:r>
      <w:r w:rsidR="00AA1689" w:rsidRPr="003427A6">
        <w:rPr>
          <w:rFonts w:ascii="Candara" w:hAnsi="Candara" w:cs="Times New Roman"/>
          <w:color w:val="0D0D0D" w:themeColor="text1" w:themeTint="F2"/>
        </w:rPr>
        <w:t>p</w:t>
      </w:r>
      <w:r w:rsidR="006F7841" w:rsidRPr="003427A6">
        <w:rPr>
          <w:rFonts w:ascii="Candara" w:hAnsi="Candara" w:cs="Times New Roman"/>
          <w:color w:val="0D0D0D" w:themeColor="text1" w:themeTint="F2"/>
        </w:rPr>
        <w:t>-values</w:t>
      </w:r>
      <w:r w:rsidR="00F23D6B" w:rsidRPr="003427A6">
        <w:rPr>
          <w:rFonts w:ascii="Candara" w:hAnsi="Candara" w:cs="Times New Roman"/>
          <w:color w:val="0D0D0D" w:themeColor="text1" w:themeTint="F2"/>
        </w:rPr>
        <w:t>&lt;</w:t>
      </w:r>
      <w:r w:rsidR="0006596E" w:rsidRPr="003427A6">
        <w:rPr>
          <w:rFonts w:ascii="Candara" w:hAnsi="Candara" w:cs="Times New Roman"/>
          <w:color w:val="0D0D0D" w:themeColor="text1" w:themeTint="F2"/>
        </w:rPr>
        <w:t>0.001), with</w:t>
      </w:r>
      <w:r w:rsidR="00066A9E" w:rsidRPr="003427A6">
        <w:rPr>
          <w:rFonts w:ascii="Candara" w:hAnsi="Candara" w:cs="Times New Roman"/>
          <w:color w:val="0D0D0D" w:themeColor="text1" w:themeTint="F2"/>
        </w:rPr>
        <w:t xml:space="preserve"> these</w:t>
      </w:r>
      <w:r w:rsidR="0006596E" w:rsidRPr="003427A6">
        <w:rPr>
          <w:rFonts w:ascii="Candara" w:hAnsi="Candara" w:cs="Times New Roman"/>
          <w:color w:val="0D0D0D" w:themeColor="text1" w:themeTint="F2"/>
        </w:rPr>
        <w:t xml:space="preserve"> benefits </w:t>
      </w:r>
      <w:r w:rsidR="00774844" w:rsidRPr="003427A6">
        <w:rPr>
          <w:rFonts w:ascii="Candara" w:hAnsi="Candara" w:cs="Times New Roman"/>
          <w:color w:val="0D0D0D" w:themeColor="text1" w:themeTint="F2"/>
        </w:rPr>
        <w:t>seen</w:t>
      </w:r>
      <w:r w:rsidR="0006596E" w:rsidRPr="003427A6">
        <w:rPr>
          <w:rFonts w:ascii="Candara" w:hAnsi="Candara" w:cs="Times New Roman"/>
          <w:color w:val="0D0D0D" w:themeColor="text1" w:themeTint="F2"/>
        </w:rPr>
        <w:t xml:space="preserve"> in patients with</w:t>
      </w:r>
      <w:r w:rsidR="00E552D7" w:rsidRPr="003427A6">
        <w:rPr>
          <w:rFonts w:ascii="Candara" w:hAnsi="Candara" w:cs="Times New Roman"/>
          <w:color w:val="0D0D0D" w:themeColor="text1" w:themeTint="F2"/>
        </w:rPr>
        <w:t xml:space="preserve"> (10%)</w:t>
      </w:r>
      <w:r w:rsidR="0006596E" w:rsidRPr="003427A6">
        <w:rPr>
          <w:rFonts w:ascii="Candara" w:hAnsi="Candara" w:cs="Times New Roman"/>
          <w:color w:val="0D0D0D" w:themeColor="text1" w:themeTint="F2"/>
        </w:rPr>
        <w:t xml:space="preserve"> and without</w:t>
      </w:r>
      <w:r w:rsidR="00E552D7" w:rsidRPr="003427A6">
        <w:rPr>
          <w:rFonts w:ascii="Candara" w:hAnsi="Candara" w:cs="Times New Roman"/>
          <w:color w:val="0D0D0D" w:themeColor="text1" w:themeTint="F2"/>
        </w:rPr>
        <w:t xml:space="preserve"> (90%)</w:t>
      </w:r>
      <w:r w:rsidR="0006596E" w:rsidRPr="003427A6">
        <w:rPr>
          <w:rFonts w:ascii="Candara" w:hAnsi="Candara" w:cs="Times New Roman"/>
          <w:color w:val="0D0D0D" w:themeColor="text1" w:themeTint="F2"/>
        </w:rPr>
        <w:t xml:space="preserve"> documented HF at baseline.</w:t>
      </w:r>
      <w:r w:rsidR="00284785" w:rsidRPr="003427A6">
        <w:rPr>
          <w:rFonts w:ascii="Candara" w:hAnsi="Candara" w:cs="Times New Roman"/>
          <w:color w:val="0D0D0D" w:themeColor="text1" w:themeTint="F2"/>
        </w:rPr>
        <w:fldChar w:fldCharType="begin">
          <w:fldData xml:space="preserve">PEVuZE5vdGU+PENpdGU+PEF1dGhvcj5GaXRjaGV0dDwvQXV0aG9yPjxZZWFyPjIwMTY8L1llYXI+
PFJlY051bT44PC9SZWNOdW0+PERpc3BsYXlUZXh0PjxzdHlsZSBmYWNlPSJzdXBlcnNjcmlwdCI+
MjI8L3N0eWxlPjwvRGlzcGxheVRleHQ+PHJlY29yZD48cmVjLW51bWJlcj44PC9yZWMtbnVtYmVy
Pjxmb3JlaWduLWtleXM+PGtleSBhcHA9IkVOIiBkYi1pZD0id2R6ZDBwZmVhd3hlczlleHNmNHZh
dnJqcHZ6dzlzYXZ3ZGVhIiB0aW1lc3RhbXA9IjAiPjg8L2tleT48L2ZvcmVpZ24ta2V5cz48cmVm
LXR5cGUgbmFtZT0iSm91cm5hbCBBcnRpY2xlIj4xNzwvcmVmLXR5cGU+PGNvbnRyaWJ1dG9ycz48
YXV0aG9ycz48YXV0aG9yPkZpdGNoZXR0LCBELjwvYXV0aG9yPjxhdXRob3I+WmlubWFuLCBCLjwv
YXV0aG9yPjxhdXRob3I+V2FubmVyLCBDLjwvYXV0aG9yPjxhdXRob3I+TGFjaGluLCBKLiBNLjwv
YXV0aG9yPjxhdXRob3I+SGFudGVsLCBTLjwvYXV0aG9yPjxhdXRob3I+U2Fsc2FsaSwgQS48L2F1
dGhvcj48YXV0aG9yPkpvaGFuc2VuLCBPLiBFLjwvYXV0aG9yPjxhdXRob3I+V29lcmxlLCBILiBK
LjwvYXV0aG9yPjxhdXRob3I+QnJvZWRsLCBVLiBDLjwvYXV0aG9yPjxhdXRob3I+SW56dWNjaGks
IFMuIEUuPC9hdXRob3I+PC9hdXRob3JzPjwvY29udHJpYnV0b3JzPjxhdXRoLWFkZHJlc3M+U3Qg
TWljaGFlbCZhcG9zO3MgSG9zcGl0YWwsIERpdmlzaW9uIG9mIENhcmRpb2xvZ3ksIFVuaXZlcnNp
dHkgb2YgVG9yb250bywgVG9yb250bywgQ2FuYWRhIGZpdGNoZXR0ZEBzbWguY2EuJiN4RDtMdW5l
bmZlbGQtVGFuZW5iYXVtIFJlc2VhcmNoIEluc3RpdHV0ZSwgTW91bnQgU2luYWkgSG9zcGl0YWws
IFRvcm9udG8sIENhbmFkYSBEaXZpc2lvbiBvZiBFbmRvY3Jpbm9sb2d5LCBVbml2ZXJzaXR5IG9m
IFRvcm9udG8sIFRvcm9udG8sIENhbmFkYS4mI3hEO0NvbXByZWhlbnNpdmUgSGVhcnQgRmFpbHVy
ZSBDZW50ZXIgYW5kIFJlbmFsIERpdmlzaW9uLCBVbml2ZXJzaXR5IG9mIFd1ZXJ6YnVyZyBhbmQg
SG9zcGl0YWwsIFd1ZXJ6YnVyZywgR2VybWFueS4mI3hEO1RoZSBCaW9zdGF0aXN0aWNzIENlbnRl
ciwgVGhlIEdlb3JnZSBXYXNoaW5ndG9uIFVuaXZlcnNpdHksIFJvY2t2aWxsZSwgTUQsIFVTQS4m
I3hEO0JvZWhyaW5nZXIgSW5nZWxoZWltIFBoYXJtYSBHbWJIICZhbXA7IENvLiBLRywgQmliZXJh
Y2gsIEdlcm1hbnkuJiN4RDtCb2VocmluZ2VyIEluZ2VsaGVpbSBQaGFybWFjZXV0aWNhbHMgSW5j
LiwgOTAwIFJpZGdlYnVyeSBSb2FkLCBSaWRnZWZpZWxkLCBDVCAwNjg3NywgVVNBLiYjeEQ7Qm9l
aHJpbmdlciBJbmdlbGhlaW0gTm9yd2F5IEtTLCBBc2tlciwgTm9yd2F5LiYjeEQ7Qm9laHJpbmdl
ciBJbmdlbGhlaW0gUGhhcm1hIEdtYkggJmFtcDsgQ28uIEtHLCBJbmdlbGhlaW0sIEdlcm1hbnku
JiN4RDtTZWN0aW9uIG9mIEVuZG9jcmlub2xvZ3ksIFlhbGUgVW5pdmVyc2l0eSBTY2hvb2wgb2Yg
TWVkaWNpbmUsIE5ldyBIYXZlbiwgQ1QsIFVTQS48L2F1dGgtYWRkcmVzcz48dGl0bGVzPjx0aXRs
ZT5IZWFydCBmYWlsdXJlIG91dGNvbWVzIHdpdGggZW1wYWdsaWZsb3ppbiBpbiBwYXRpZW50cyB3
aXRoIHR5cGUgMiBkaWFiZXRlcyBhdCBoaWdoIGNhcmRpb3Zhc2N1bGFyIHJpc2s6IHJlc3VsdHMg
b2YgdGhlIEVNUEEtUkVHIE9VVENPTUUoUikgdHJpYWw8L3RpdGxlPjxzZWNvbmRhcnktdGl0bGU+
RXVyIEhlYXJ0IEo8L3NlY29uZGFyeS10aXRsZT48YWx0LXRpdGxlPkV1cm9wZWFuIGhlYXJ0IGpv
dXJuYWw8L2FsdC10aXRsZT48L3RpdGxlcz48cGFnZXM+MTUyNi0zNDwvcGFnZXM+PHZvbHVtZT4z
Nzwvdm9sdW1lPjxudW1iZXI+MTk8L251bWJlcj48ZWRpdGlvbj4yMDE2LzAxLzI5PC9lZGl0aW9u
PjxrZXl3b3Jkcz48a2V5d29yZD5DYXJkaW92YXNjdWxhciBkaXNlYXNlPC9rZXl3b3JkPjxrZXl3
b3JkPkhvc3BpdGFsaXphdGlvbjwva2V5d29yZD48a2V5d29yZD5Nb3J0YWxpdHk8L2tleXdvcmQ+
PC9rZXl3b3Jkcz48ZGF0ZXM+PHllYXI+MjAxNjwveWVhcj48cHViLWRhdGVzPjxkYXRlPk1heSAx
NDwvZGF0ZT48L3B1Yi1kYXRlcz48L2RhdGVzPjxpc2JuPjAxOTUtNjY4eDwvaXNibj48YWNjZXNz
aW9uLW51bT4yNjgxOTIyNzwvYWNjZXNzaW9uLW51bT48dXJscz48L3VybHM+PGN1c3RvbTI+UE1D
NDg3MjI4NTwvY3VzdG9tMj48ZWxlY3Ryb25pYy1yZXNvdXJjZS1udW0+MTAuMTA5My9ldXJoZWFy
dGovZWh2NzI4PC9lbGVjdHJvbmljLXJlc291cmNlLW51bT48cmVtb3RlLWRhdGFiYXNlLXByb3Zp
ZGVyPk5MTTwvcmVtb3RlLWRhdGFiYXNlLXByb3ZpZGVyPjxsYW5ndWFnZT5lbmc8L2xhbmd1YWdl
PjwvcmVjb3JkPjwvQ2l0ZT48L0VuZE5vdGU+
</w:fldData>
        </w:fldChar>
      </w:r>
      <w:r w:rsidR="00A43414" w:rsidRPr="003427A6">
        <w:rPr>
          <w:rFonts w:ascii="Candara" w:hAnsi="Candara" w:cs="Times New Roman"/>
          <w:color w:val="0D0D0D" w:themeColor="text1" w:themeTint="F2"/>
        </w:rPr>
        <w:instrText xml:space="preserve"> ADDIN EN.CITE </w:instrText>
      </w:r>
      <w:r w:rsidR="00A43414" w:rsidRPr="003427A6">
        <w:rPr>
          <w:rFonts w:ascii="Candara" w:hAnsi="Candara" w:cs="Times New Roman"/>
          <w:color w:val="0D0D0D" w:themeColor="text1" w:themeTint="F2"/>
        </w:rPr>
        <w:fldChar w:fldCharType="begin">
          <w:fldData xml:space="preserve">PEVuZE5vdGU+PENpdGU+PEF1dGhvcj5GaXRjaGV0dDwvQXV0aG9yPjxZZWFyPjIwMTY8L1llYXI+
PFJlY051bT44PC9SZWNOdW0+PERpc3BsYXlUZXh0PjxzdHlsZSBmYWNlPSJzdXBlcnNjcmlwdCI+
MjI8L3N0eWxlPjwvRGlzcGxheVRleHQ+PHJlY29yZD48cmVjLW51bWJlcj44PC9yZWMtbnVtYmVy
Pjxmb3JlaWduLWtleXM+PGtleSBhcHA9IkVOIiBkYi1pZD0id2R6ZDBwZmVhd3hlczlleHNmNHZh
dnJqcHZ6dzlzYXZ3ZGVhIiB0aW1lc3RhbXA9IjAiPjg8L2tleT48L2ZvcmVpZ24ta2V5cz48cmVm
LXR5cGUgbmFtZT0iSm91cm5hbCBBcnRpY2xlIj4xNzwvcmVmLXR5cGU+PGNvbnRyaWJ1dG9ycz48
YXV0aG9ycz48YXV0aG9yPkZpdGNoZXR0LCBELjwvYXV0aG9yPjxhdXRob3I+WmlubWFuLCBCLjwv
YXV0aG9yPjxhdXRob3I+V2FubmVyLCBDLjwvYXV0aG9yPjxhdXRob3I+TGFjaGluLCBKLiBNLjwv
YXV0aG9yPjxhdXRob3I+SGFudGVsLCBTLjwvYXV0aG9yPjxhdXRob3I+U2Fsc2FsaSwgQS48L2F1
dGhvcj48YXV0aG9yPkpvaGFuc2VuLCBPLiBFLjwvYXV0aG9yPjxhdXRob3I+V29lcmxlLCBILiBK
LjwvYXV0aG9yPjxhdXRob3I+QnJvZWRsLCBVLiBDLjwvYXV0aG9yPjxhdXRob3I+SW56dWNjaGks
IFMuIEUuPC9hdXRob3I+PC9hdXRob3JzPjwvY29udHJpYnV0b3JzPjxhdXRoLWFkZHJlc3M+U3Qg
TWljaGFlbCZhcG9zO3MgSG9zcGl0YWwsIERpdmlzaW9uIG9mIENhcmRpb2xvZ3ksIFVuaXZlcnNp
dHkgb2YgVG9yb250bywgVG9yb250bywgQ2FuYWRhIGZpdGNoZXR0ZEBzbWguY2EuJiN4RDtMdW5l
bmZlbGQtVGFuZW5iYXVtIFJlc2VhcmNoIEluc3RpdHV0ZSwgTW91bnQgU2luYWkgSG9zcGl0YWws
IFRvcm9udG8sIENhbmFkYSBEaXZpc2lvbiBvZiBFbmRvY3Jpbm9sb2d5LCBVbml2ZXJzaXR5IG9m
IFRvcm9udG8sIFRvcm9udG8sIENhbmFkYS4mI3hEO0NvbXByZWhlbnNpdmUgSGVhcnQgRmFpbHVy
ZSBDZW50ZXIgYW5kIFJlbmFsIERpdmlzaW9uLCBVbml2ZXJzaXR5IG9mIFd1ZXJ6YnVyZyBhbmQg
SG9zcGl0YWwsIFd1ZXJ6YnVyZywgR2VybWFueS4mI3hEO1RoZSBCaW9zdGF0aXN0aWNzIENlbnRl
ciwgVGhlIEdlb3JnZSBXYXNoaW5ndG9uIFVuaXZlcnNpdHksIFJvY2t2aWxsZSwgTUQsIFVTQS4m
I3hEO0JvZWhyaW5nZXIgSW5nZWxoZWltIFBoYXJtYSBHbWJIICZhbXA7IENvLiBLRywgQmliZXJh
Y2gsIEdlcm1hbnkuJiN4RDtCb2VocmluZ2VyIEluZ2VsaGVpbSBQaGFybWFjZXV0aWNhbHMgSW5j
LiwgOTAwIFJpZGdlYnVyeSBSb2FkLCBSaWRnZWZpZWxkLCBDVCAwNjg3NywgVVNBLiYjeEQ7Qm9l
aHJpbmdlciBJbmdlbGhlaW0gTm9yd2F5IEtTLCBBc2tlciwgTm9yd2F5LiYjeEQ7Qm9laHJpbmdl
ciBJbmdlbGhlaW0gUGhhcm1hIEdtYkggJmFtcDsgQ28uIEtHLCBJbmdlbGhlaW0sIEdlcm1hbnku
JiN4RDtTZWN0aW9uIG9mIEVuZG9jcmlub2xvZ3ksIFlhbGUgVW5pdmVyc2l0eSBTY2hvb2wgb2Yg
TWVkaWNpbmUsIE5ldyBIYXZlbiwgQ1QsIFVTQS48L2F1dGgtYWRkcmVzcz48dGl0bGVzPjx0aXRs
ZT5IZWFydCBmYWlsdXJlIG91dGNvbWVzIHdpdGggZW1wYWdsaWZsb3ppbiBpbiBwYXRpZW50cyB3
aXRoIHR5cGUgMiBkaWFiZXRlcyBhdCBoaWdoIGNhcmRpb3Zhc2N1bGFyIHJpc2s6IHJlc3VsdHMg
b2YgdGhlIEVNUEEtUkVHIE9VVENPTUUoUikgdHJpYWw8L3RpdGxlPjxzZWNvbmRhcnktdGl0bGU+
RXVyIEhlYXJ0IEo8L3NlY29uZGFyeS10aXRsZT48YWx0LXRpdGxlPkV1cm9wZWFuIGhlYXJ0IGpv
dXJuYWw8L2FsdC10aXRsZT48L3RpdGxlcz48cGFnZXM+MTUyNi0zNDwvcGFnZXM+PHZvbHVtZT4z
Nzwvdm9sdW1lPjxudW1iZXI+MTk8L251bWJlcj48ZWRpdGlvbj4yMDE2LzAxLzI5PC9lZGl0aW9u
PjxrZXl3b3Jkcz48a2V5d29yZD5DYXJkaW92YXNjdWxhciBkaXNlYXNlPC9rZXl3b3JkPjxrZXl3
b3JkPkhvc3BpdGFsaXphdGlvbjwva2V5d29yZD48a2V5d29yZD5Nb3J0YWxpdHk8L2tleXdvcmQ+
PC9rZXl3b3Jkcz48ZGF0ZXM+PHllYXI+MjAxNjwveWVhcj48cHViLWRhdGVzPjxkYXRlPk1heSAx
NDwvZGF0ZT48L3B1Yi1kYXRlcz48L2RhdGVzPjxpc2JuPjAxOTUtNjY4eDwvaXNibj48YWNjZXNz
aW9uLW51bT4yNjgxOTIyNzwvYWNjZXNzaW9uLW51bT48dXJscz48L3VybHM+PGN1c3RvbTI+UE1D
NDg3MjI4NTwvY3VzdG9tMj48ZWxlY3Ryb25pYy1yZXNvdXJjZS1udW0+MTAuMTA5My9ldXJoZWFy
dGovZWh2NzI4PC9lbGVjdHJvbmljLXJlc291cmNlLW51bT48cmVtb3RlLWRhdGFiYXNlLXByb3Zp
ZGVyPk5MTTwvcmVtb3RlLWRhdGFiYXNlLXByb3ZpZGVyPjxsYW5ndWFnZT5lbmc8L2xhbmd1YWdl
PjwvcmVjb3JkPjwvQ2l0ZT48L0VuZE5vdGU+
</w:fldData>
        </w:fldChar>
      </w:r>
      <w:r w:rsidR="00A43414" w:rsidRPr="003427A6">
        <w:rPr>
          <w:rFonts w:ascii="Candara" w:hAnsi="Candara" w:cs="Times New Roman"/>
          <w:color w:val="0D0D0D" w:themeColor="text1" w:themeTint="F2"/>
        </w:rPr>
        <w:instrText xml:space="preserve"> ADDIN EN.CITE.DATA </w:instrText>
      </w:r>
      <w:r w:rsidR="00A43414" w:rsidRPr="003427A6">
        <w:rPr>
          <w:rFonts w:ascii="Candara" w:hAnsi="Candara" w:cs="Times New Roman"/>
          <w:color w:val="0D0D0D" w:themeColor="text1" w:themeTint="F2"/>
        </w:rPr>
      </w:r>
      <w:r w:rsidR="00A43414" w:rsidRPr="003427A6">
        <w:rPr>
          <w:rFonts w:ascii="Candara" w:hAnsi="Candara" w:cs="Times New Roman"/>
          <w:color w:val="0D0D0D" w:themeColor="text1" w:themeTint="F2"/>
        </w:rPr>
        <w:fldChar w:fldCharType="end"/>
      </w:r>
      <w:r w:rsidR="00284785" w:rsidRPr="003427A6">
        <w:rPr>
          <w:rFonts w:ascii="Candara" w:hAnsi="Candara" w:cs="Times New Roman"/>
          <w:color w:val="0D0D0D" w:themeColor="text1" w:themeTint="F2"/>
        </w:rPr>
      </w:r>
      <w:r w:rsidR="00284785" w:rsidRPr="003427A6">
        <w:rPr>
          <w:rFonts w:ascii="Candara" w:hAnsi="Candara" w:cs="Times New Roman"/>
          <w:color w:val="0D0D0D" w:themeColor="text1" w:themeTint="F2"/>
        </w:rPr>
        <w:fldChar w:fldCharType="separate"/>
      </w:r>
      <w:r w:rsidR="00C8264D" w:rsidRPr="003427A6">
        <w:rPr>
          <w:rFonts w:ascii="Candara" w:hAnsi="Candara" w:cs="Times New Roman"/>
          <w:noProof/>
          <w:color w:val="0D0D0D" w:themeColor="text1" w:themeTint="F2"/>
          <w:vertAlign w:val="superscript"/>
        </w:rPr>
        <w:t>22</w:t>
      </w:r>
      <w:r w:rsidR="00284785" w:rsidRPr="003427A6">
        <w:rPr>
          <w:rFonts w:ascii="Candara" w:hAnsi="Candara" w:cs="Times New Roman"/>
          <w:color w:val="0D0D0D" w:themeColor="text1" w:themeTint="F2"/>
        </w:rPr>
        <w:fldChar w:fldCharType="end"/>
      </w:r>
      <w:r w:rsidR="009C6910" w:rsidRPr="003427A6">
        <w:rPr>
          <w:rFonts w:ascii="Candara" w:hAnsi="Candara" w:cs="Times New Roman"/>
          <w:color w:val="0D0D0D" w:themeColor="text1" w:themeTint="F2"/>
        </w:rPr>
        <w:t xml:space="preserve"> </w:t>
      </w:r>
      <w:r w:rsidR="00E552D7" w:rsidRPr="003427A6">
        <w:rPr>
          <w:rStyle w:val="af8"/>
          <w:rFonts w:ascii="Candara" w:hAnsi="Candara" w:cs="Times New Roman"/>
          <w:color w:val="0D0D0D" w:themeColor="text1" w:themeTint="F2"/>
        </w:rPr>
        <w:endnoteReference w:id="26"/>
      </w:r>
      <w:r w:rsidR="00E552D7" w:rsidRPr="003427A6">
        <w:rPr>
          <w:rFonts w:ascii="Candara" w:hAnsi="Candara" w:cs="Times New Roman"/>
          <w:color w:val="0D0D0D" w:themeColor="text1" w:themeTint="F2"/>
        </w:rPr>
        <w:t xml:space="preserve">  </w:t>
      </w:r>
      <w:r w:rsidR="003523C5" w:rsidRPr="003427A6">
        <w:rPr>
          <w:rFonts w:ascii="Candara" w:eastAsia="Times New Roman" w:hAnsi="Candara" w:cs="Times New Roman"/>
        </w:rPr>
        <w:t>The reduced adjudicated endpoint of HF hospitalization was supported by similar reductions of investigator</w:t>
      </w:r>
      <w:r w:rsidR="00066A9E" w:rsidRPr="003427A6">
        <w:rPr>
          <w:rFonts w:ascii="Candara" w:eastAsia="Times New Roman" w:hAnsi="Candara" w:cs="Times New Roman"/>
        </w:rPr>
        <w:t>-</w:t>
      </w:r>
      <w:r w:rsidR="003523C5" w:rsidRPr="003427A6">
        <w:rPr>
          <w:rFonts w:ascii="Candara" w:eastAsia="Times New Roman" w:hAnsi="Candara" w:cs="Times New Roman"/>
        </w:rPr>
        <w:t xml:space="preserve">reported HF, and the introduction of loop diuretics as a </w:t>
      </w:r>
      <w:r w:rsidR="00066A9E" w:rsidRPr="003427A6">
        <w:rPr>
          <w:rFonts w:ascii="Candara" w:eastAsia="Times New Roman" w:hAnsi="Candara" w:cs="Times New Roman"/>
        </w:rPr>
        <w:t>proxy</w:t>
      </w:r>
      <w:r w:rsidR="003523C5" w:rsidRPr="003427A6">
        <w:rPr>
          <w:rFonts w:ascii="Candara" w:eastAsia="Times New Roman" w:hAnsi="Candara" w:cs="Times New Roman"/>
        </w:rPr>
        <w:t xml:space="preserve"> for HF</w:t>
      </w:r>
      <w:r w:rsidR="00066A9E" w:rsidRPr="003427A6">
        <w:rPr>
          <w:rFonts w:ascii="Candara" w:eastAsia="Times New Roman" w:hAnsi="Candara" w:cs="Times New Roman"/>
        </w:rPr>
        <w:t xml:space="preserve"> </w:t>
      </w:r>
      <w:r w:rsidR="00F80187" w:rsidRPr="003427A6">
        <w:rPr>
          <w:rFonts w:ascii="Candara" w:eastAsia="Times New Roman" w:hAnsi="Candara" w:cs="Times New Roman"/>
        </w:rPr>
        <w:t>symptoms</w:t>
      </w:r>
      <w:r w:rsidR="003523C5" w:rsidRPr="003427A6">
        <w:rPr>
          <w:rFonts w:ascii="Candara" w:eastAsia="Times New Roman" w:hAnsi="Candara" w:cs="Times New Roman"/>
        </w:rPr>
        <w:t xml:space="preserve">. </w:t>
      </w:r>
      <w:r w:rsidR="00E552D7" w:rsidRPr="003427A6">
        <w:rPr>
          <w:rFonts w:ascii="Candara" w:eastAsia="Times New Roman" w:hAnsi="Candara" w:cs="Times New Roman"/>
        </w:rPr>
        <w:t xml:space="preserve">  In t</w:t>
      </w:r>
      <w:r w:rsidR="001F4B82" w:rsidRPr="003427A6">
        <w:rPr>
          <w:rFonts w:ascii="Candara" w:eastAsia="Times New Roman" w:hAnsi="Candara" w:cs="Times New Roman"/>
        </w:rPr>
        <w:t xml:space="preserve">he same trial, there was a 39% </w:t>
      </w:r>
      <w:r w:rsidR="00ED4169" w:rsidRPr="003427A6">
        <w:rPr>
          <w:rFonts w:ascii="Candara" w:eastAsia="Times New Roman" w:hAnsi="Candara" w:cs="Times New Roman"/>
        </w:rPr>
        <w:t>reduction in the relative hazard of</w:t>
      </w:r>
      <w:r w:rsidR="00E552D7" w:rsidRPr="003427A6">
        <w:rPr>
          <w:rFonts w:ascii="Candara" w:eastAsia="Times New Roman" w:hAnsi="Candara" w:cs="Times New Roman"/>
        </w:rPr>
        <w:t xml:space="preserve"> incident or worsening nephropathy </w:t>
      </w:r>
      <w:r w:rsidR="00ED4169" w:rsidRPr="003427A6">
        <w:rPr>
          <w:rFonts w:ascii="Candara" w:eastAsia="Times New Roman" w:hAnsi="Candara" w:cs="Times New Roman"/>
        </w:rPr>
        <w:t>defined as</w:t>
      </w:r>
      <w:r w:rsidR="001F4B82" w:rsidRPr="003427A6">
        <w:rPr>
          <w:rFonts w:ascii="Candara" w:eastAsia="Times New Roman" w:hAnsi="Candara" w:cs="Times New Roman"/>
        </w:rPr>
        <w:t xml:space="preserve"> either</w:t>
      </w:r>
      <w:r w:rsidR="00ED4169" w:rsidRPr="003427A6">
        <w:rPr>
          <w:rFonts w:ascii="Candara" w:eastAsia="Times New Roman" w:hAnsi="Candara" w:cs="Times New Roman"/>
        </w:rPr>
        <w:t xml:space="preserve"> progression to macroalbuminuria (&gt;300 mg of albumin per gram of creatinine</w:t>
      </w:r>
      <w:r w:rsidR="00066A9E" w:rsidRPr="003427A6">
        <w:rPr>
          <w:rFonts w:ascii="Candara" w:eastAsia="Times New Roman" w:hAnsi="Candara" w:cs="Times New Roman"/>
        </w:rPr>
        <w:t xml:space="preserve"> in spot urine</w:t>
      </w:r>
      <w:r w:rsidR="001F4B82" w:rsidRPr="003427A6">
        <w:rPr>
          <w:rFonts w:ascii="Candara" w:eastAsia="Times New Roman" w:hAnsi="Candara" w:cs="Times New Roman"/>
        </w:rPr>
        <w:t xml:space="preserve">), </w:t>
      </w:r>
      <w:r w:rsidR="00ED4169" w:rsidRPr="003427A6">
        <w:rPr>
          <w:rFonts w:ascii="Candara" w:eastAsia="Times New Roman" w:hAnsi="Candara" w:cs="Times New Roman"/>
        </w:rPr>
        <w:t xml:space="preserve">a doubling of the serum creatinine accompanied by an eGFR of ≤45 </w:t>
      </w:r>
      <w:r w:rsidR="00D452A7" w:rsidRPr="003427A6">
        <w:rPr>
          <w:rFonts w:ascii="Candara" w:hAnsi="Candara"/>
          <w:color w:val="0D0D0D" w:themeColor="text1" w:themeTint="F2"/>
        </w:rPr>
        <w:t>ml/min/1.73 m</w:t>
      </w:r>
      <w:r w:rsidR="00D452A7" w:rsidRPr="003427A6">
        <w:rPr>
          <w:rFonts w:ascii="Candara" w:hAnsi="Candara"/>
          <w:color w:val="0D0D0D" w:themeColor="text1" w:themeTint="F2"/>
          <w:vertAlign w:val="superscript"/>
        </w:rPr>
        <w:t>2</w:t>
      </w:r>
      <w:r w:rsidR="001F4B82" w:rsidRPr="003427A6">
        <w:rPr>
          <w:rFonts w:ascii="Candara" w:eastAsia="Times New Roman" w:hAnsi="Candara" w:cs="Times New Roman"/>
        </w:rPr>
        <w:t xml:space="preserve">, </w:t>
      </w:r>
      <w:r w:rsidR="00ED4169" w:rsidRPr="003427A6">
        <w:rPr>
          <w:rFonts w:ascii="Candara" w:eastAsia="Times New Roman" w:hAnsi="Candara" w:cs="Times New Roman"/>
        </w:rPr>
        <w:t>the initiation of renal-replacement therapy</w:t>
      </w:r>
      <w:r w:rsidR="001F4B82" w:rsidRPr="003427A6">
        <w:rPr>
          <w:rFonts w:ascii="Candara" w:eastAsia="Times New Roman" w:hAnsi="Candara" w:cs="Times New Roman"/>
        </w:rPr>
        <w:t>,</w:t>
      </w:r>
      <w:r w:rsidR="00ED4169" w:rsidRPr="003427A6">
        <w:rPr>
          <w:rFonts w:ascii="Candara" w:eastAsia="Times New Roman" w:hAnsi="Candara" w:cs="Times New Roman"/>
        </w:rPr>
        <w:t xml:space="preserve"> or death from renal disease (HR=0.61, 95% CI</w:t>
      </w:r>
      <w:r w:rsidR="00D84037" w:rsidRPr="003427A6">
        <w:rPr>
          <w:rFonts w:ascii="Candara" w:eastAsia="Times New Roman" w:hAnsi="Candara" w:cs="Times New Roman"/>
        </w:rPr>
        <w:t xml:space="preserve"> =</w:t>
      </w:r>
      <w:r w:rsidR="00ED4169" w:rsidRPr="003427A6">
        <w:rPr>
          <w:rFonts w:ascii="Candara" w:eastAsia="Times New Roman" w:hAnsi="Candara" w:cs="Times New Roman"/>
        </w:rPr>
        <w:t xml:space="preserve"> 0.53-0.71, p&lt;0.001).  </w:t>
      </w:r>
      <w:r w:rsidR="001F4B82" w:rsidRPr="003427A6">
        <w:rPr>
          <w:rFonts w:ascii="Candara" w:eastAsia="Times New Roman" w:hAnsi="Candara" w:cs="Times New Roman"/>
        </w:rPr>
        <w:t xml:space="preserve">These </w:t>
      </w:r>
      <w:r w:rsidR="00ED4169" w:rsidRPr="003427A6">
        <w:rPr>
          <w:rFonts w:ascii="Candara" w:eastAsia="Times New Roman" w:hAnsi="Candara" w:cs="Times New Roman"/>
        </w:rPr>
        <w:t>findings appeared to be out of proportion to the 0.54% reduction in hemoglobin A1C, decrease</w:t>
      </w:r>
      <w:r w:rsidR="001000FB" w:rsidRPr="003427A6">
        <w:rPr>
          <w:rFonts w:ascii="Candara" w:eastAsia="Times New Roman" w:hAnsi="Candara" w:cs="Times New Roman"/>
        </w:rPr>
        <w:t xml:space="preserve"> (~4 mmHg)</w:t>
      </w:r>
      <w:r w:rsidR="00ED4169" w:rsidRPr="003427A6">
        <w:rPr>
          <w:rFonts w:ascii="Candara" w:eastAsia="Times New Roman" w:hAnsi="Candara" w:cs="Times New Roman"/>
        </w:rPr>
        <w:t xml:space="preserve"> in systolic blood pressure, and decline</w:t>
      </w:r>
      <w:r w:rsidR="001000FB" w:rsidRPr="003427A6">
        <w:rPr>
          <w:rFonts w:ascii="Candara" w:eastAsia="Times New Roman" w:hAnsi="Candara" w:cs="Times New Roman"/>
        </w:rPr>
        <w:t xml:space="preserve"> (~2.0 kg)</w:t>
      </w:r>
      <w:r w:rsidR="00ED4169" w:rsidRPr="003427A6">
        <w:rPr>
          <w:rFonts w:ascii="Candara" w:eastAsia="Times New Roman" w:hAnsi="Candara" w:cs="Times New Roman"/>
        </w:rPr>
        <w:t xml:space="preserve"> in body weight</w:t>
      </w:r>
      <w:r w:rsidR="001F4B82" w:rsidRPr="003427A6">
        <w:rPr>
          <w:rFonts w:ascii="Candara" w:eastAsia="Times New Roman" w:hAnsi="Candara" w:cs="Times New Roman"/>
        </w:rPr>
        <w:t xml:space="preserve"> observed in the treatment group</w:t>
      </w:r>
      <w:r w:rsidR="00ED4169" w:rsidRPr="003427A6">
        <w:rPr>
          <w:rFonts w:ascii="Candara" w:eastAsia="Times New Roman" w:hAnsi="Candara" w:cs="Times New Roman"/>
        </w:rPr>
        <w:t>.</w:t>
      </w:r>
      <w:r w:rsidR="001000FB" w:rsidRPr="003427A6">
        <w:rPr>
          <w:rFonts w:ascii="Candara" w:eastAsia="Times New Roman" w:hAnsi="Candara" w:cs="Times New Roman"/>
        </w:rPr>
        <w:t xml:space="preserve">  Additionally, the cardiovascular outcomes were independent of baseline eGFR</w:t>
      </w:r>
      <w:r w:rsidR="001000FB" w:rsidRPr="003427A6">
        <w:rPr>
          <w:rFonts w:ascii="Candara" w:hAnsi="Candara"/>
          <w:color w:val="0D0D0D" w:themeColor="text1" w:themeTint="F2"/>
        </w:rPr>
        <w:t>.</w:t>
      </w:r>
      <w:r w:rsidR="001000FB" w:rsidRPr="003427A6">
        <w:rPr>
          <w:rStyle w:val="af8"/>
          <w:rFonts w:ascii="Candara" w:hAnsi="Candara"/>
          <w:color w:val="0D0D0D" w:themeColor="text1" w:themeTint="F2"/>
        </w:rPr>
        <w:endnoteReference w:id="27"/>
      </w:r>
    </w:p>
    <w:p w14:paraId="104BA084" w14:textId="77777777" w:rsidR="008A70C0" w:rsidRPr="003427A6" w:rsidRDefault="008A70C0" w:rsidP="001000FB">
      <w:pPr>
        <w:spacing w:line="360" w:lineRule="auto"/>
        <w:rPr>
          <w:rFonts w:ascii="Candara" w:hAnsi="Candara"/>
          <w:i/>
          <w:color w:val="0D0D0D" w:themeColor="text1" w:themeTint="F2"/>
        </w:rPr>
      </w:pPr>
    </w:p>
    <w:p w14:paraId="70A83DC4" w14:textId="063EB381" w:rsidR="001000FB" w:rsidRPr="003427A6" w:rsidRDefault="001000FB" w:rsidP="001000FB">
      <w:pPr>
        <w:spacing w:line="360" w:lineRule="auto"/>
        <w:rPr>
          <w:rFonts w:ascii="Candara" w:hAnsi="Candara"/>
          <w:b/>
          <w:color w:val="0D0D0D" w:themeColor="text1" w:themeTint="F2"/>
        </w:rPr>
      </w:pPr>
      <w:r w:rsidRPr="003427A6">
        <w:rPr>
          <w:rFonts w:ascii="Candara" w:hAnsi="Candara"/>
          <w:b/>
          <w:color w:val="0D0D0D" w:themeColor="text1" w:themeTint="F2"/>
        </w:rPr>
        <w:t xml:space="preserve">The </w:t>
      </w:r>
      <w:r w:rsidRPr="003427A6">
        <w:rPr>
          <w:rFonts w:ascii="Candara" w:hAnsi="Candara"/>
          <w:b/>
          <w:i/>
          <w:color w:val="0D0D0D" w:themeColor="text1" w:themeTint="F2"/>
        </w:rPr>
        <w:t>CANVAS</w:t>
      </w:r>
      <w:r w:rsidRPr="003427A6">
        <w:rPr>
          <w:rFonts w:ascii="Candara" w:hAnsi="Candara"/>
          <w:b/>
          <w:color w:val="0D0D0D" w:themeColor="text1" w:themeTint="F2"/>
        </w:rPr>
        <w:t xml:space="preserve"> Program</w:t>
      </w:r>
    </w:p>
    <w:p w14:paraId="2E7903A7" w14:textId="77777777" w:rsidR="00C5008F" w:rsidRPr="003427A6" w:rsidRDefault="00C5008F" w:rsidP="001000FB">
      <w:pPr>
        <w:spacing w:line="360" w:lineRule="auto"/>
        <w:rPr>
          <w:rFonts w:ascii="Candara" w:hAnsi="Candara"/>
          <w:b/>
          <w:color w:val="0D0D0D" w:themeColor="text1" w:themeTint="F2"/>
        </w:rPr>
      </w:pPr>
    </w:p>
    <w:p w14:paraId="2BE3F451" w14:textId="6175B6C7" w:rsidR="001000FB" w:rsidRPr="003427A6" w:rsidRDefault="001000FB" w:rsidP="00807138">
      <w:pPr>
        <w:spacing w:line="360" w:lineRule="auto"/>
        <w:rPr>
          <w:rFonts w:ascii="Candara" w:hAnsi="Candara"/>
          <w:color w:val="0D0D0D" w:themeColor="text1" w:themeTint="F2"/>
        </w:rPr>
      </w:pPr>
      <w:r w:rsidRPr="003427A6">
        <w:rPr>
          <w:rFonts w:ascii="Candara" w:hAnsi="Candara"/>
          <w:color w:val="0D0D0D" w:themeColor="text1" w:themeTint="F2"/>
        </w:rPr>
        <w:tab/>
        <w:t xml:space="preserve">The </w:t>
      </w:r>
      <w:r w:rsidR="00D452A7" w:rsidRPr="003427A6">
        <w:rPr>
          <w:rFonts w:ascii="Candara" w:hAnsi="Candara"/>
          <w:color w:val="0D0D0D" w:themeColor="text1" w:themeTint="F2"/>
        </w:rPr>
        <w:t>Canagliflozin Cardiovascular Assessment Study (</w:t>
      </w:r>
      <w:r w:rsidRPr="003427A6">
        <w:rPr>
          <w:rFonts w:ascii="Candara" w:hAnsi="Candara"/>
          <w:color w:val="0D0D0D" w:themeColor="text1" w:themeTint="F2"/>
        </w:rPr>
        <w:t>CANVAS</w:t>
      </w:r>
      <w:r w:rsidR="00D452A7" w:rsidRPr="003427A6">
        <w:rPr>
          <w:rFonts w:ascii="Candara" w:hAnsi="Candara"/>
          <w:color w:val="0D0D0D" w:themeColor="text1" w:themeTint="F2"/>
        </w:rPr>
        <w:t>)</w:t>
      </w:r>
      <w:r w:rsidR="00A01D84" w:rsidRPr="003427A6">
        <w:rPr>
          <w:rFonts w:ascii="Candara" w:hAnsi="Candara"/>
          <w:color w:val="0D0D0D" w:themeColor="text1" w:themeTint="F2"/>
        </w:rPr>
        <w:t xml:space="preserve"> Program included the CANVAS and </w:t>
      </w:r>
      <w:r w:rsidR="006515B0" w:rsidRPr="003427A6">
        <w:rPr>
          <w:rFonts w:ascii="Candara" w:hAnsi="Candara"/>
          <w:color w:val="0D0D0D" w:themeColor="text1" w:themeTint="F2"/>
        </w:rPr>
        <w:t>CANVAS-Renal (</w:t>
      </w:r>
      <w:r w:rsidR="00A01D84" w:rsidRPr="003427A6">
        <w:rPr>
          <w:rFonts w:ascii="Candara" w:hAnsi="Candara"/>
          <w:color w:val="0D0D0D" w:themeColor="text1" w:themeTint="F2"/>
        </w:rPr>
        <w:t>CANVAS-R</w:t>
      </w:r>
      <w:r w:rsidR="006515B0" w:rsidRPr="003427A6">
        <w:rPr>
          <w:rFonts w:ascii="Candara" w:hAnsi="Candara"/>
          <w:color w:val="0D0D0D" w:themeColor="text1" w:themeTint="F2"/>
        </w:rPr>
        <w:t>)</w:t>
      </w:r>
      <w:r w:rsidR="00A01D84" w:rsidRPr="003427A6">
        <w:rPr>
          <w:rFonts w:ascii="Candara" w:hAnsi="Candara"/>
          <w:color w:val="0D0D0D" w:themeColor="text1" w:themeTint="F2"/>
        </w:rPr>
        <w:t xml:space="preserve"> study cohort</w:t>
      </w:r>
      <w:r w:rsidR="00D84037" w:rsidRPr="003427A6">
        <w:rPr>
          <w:rFonts w:ascii="Candara" w:hAnsi="Candara"/>
          <w:color w:val="0D0D0D" w:themeColor="text1" w:themeTint="F2"/>
        </w:rPr>
        <w:t>s</w:t>
      </w:r>
      <w:r w:rsidR="00A01D84" w:rsidRPr="003427A6">
        <w:rPr>
          <w:rFonts w:ascii="Candara" w:hAnsi="Candara"/>
          <w:color w:val="0D0D0D" w:themeColor="text1" w:themeTint="F2"/>
        </w:rPr>
        <w:t xml:space="preserve"> assembled</w:t>
      </w:r>
      <w:r w:rsidR="00823657" w:rsidRPr="003427A6">
        <w:rPr>
          <w:rFonts w:ascii="Candara" w:hAnsi="Candara"/>
          <w:color w:val="0D0D0D" w:themeColor="text1" w:themeTint="F2"/>
        </w:rPr>
        <w:t xml:space="preserve"> </w:t>
      </w:r>
      <w:r w:rsidR="00A01D84" w:rsidRPr="003427A6">
        <w:rPr>
          <w:rFonts w:ascii="Candara" w:hAnsi="Candara"/>
          <w:color w:val="0D0D0D" w:themeColor="text1" w:themeTint="F2"/>
        </w:rPr>
        <w:t xml:space="preserve"> into a randomized trial comparing canagliflozin 100 mg or 300 mg (100 mg with optional increase to 300 </w:t>
      </w:r>
      <w:r w:rsidR="00E8605A" w:rsidRPr="003427A6">
        <w:rPr>
          <w:rFonts w:ascii="Candara" w:hAnsi="Candara"/>
          <w:color w:val="0D0D0D" w:themeColor="text1" w:themeTint="F2"/>
        </w:rPr>
        <w:t>mg</w:t>
      </w:r>
      <w:r w:rsidR="00D84037" w:rsidRPr="003427A6">
        <w:rPr>
          <w:rFonts w:ascii="Candara" w:hAnsi="Candara"/>
          <w:color w:val="0D0D0D" w:themeColor="text1" w:themeTint="F2"/>
        </w:rPr>
        <w:t>)</w:t>
      </w:r>
      <w:r w:rsidR="001F4B82" w:rsidRPr="003427A6">
        <w:rPr>
          <w:rFonts w:ascii="Candara" w:hAnsi="Candara"/>
          <w:color w:val="0D0D0D" w:themeColor="text1" w:themeTint="F2"/>
        </w:rPr>
        <w:t xml:space="preserve"> to placebo control</w:t>
      </w:r>
      <w:r w:rsidR="00E8605A" w:rsidRPr="003427A6">
        <w:rPr>
          <w:rFonts w:ascii="Candara" w:hAnsi="Candara"/>
          <w:color w:val="0D0D0D" w:themeColor="text1" w:themeTint="F2"/>
        </w:rPr>
        <w:t xml:space="preserve"> in</w:t>
      </w:r>
      <w:r w:rsidR="00A01D84" w:rsidRPr="003427A6">
        <w:rPr>
          <w:rFonts w:ascii="Candara" w:hAnsi="Candara"/>
          <w:color w:val="0D0D0D" w:themeColor="text1" w:themeTint="F2"/>
        </w:rPr>
        <w:t xml:space="preserve"> </w:t>
      </w:r>
      <w:r w:rsidR="00D41D57" w:rsidRPr="003427A6">
        <w:rPr>
          <w:rFonts w:ascii="Candara" w:hAnsi="Candara"/>
          <w:color w:val="0D0D0D" w:themeColor="text1" w:themeTint="F2"/>
        </w:rPr>
        <w:t xml:space="preserve">10,142 </w:t>
      </w:r>
      <w:r w:rsidR="00D84037" w:rsidRPr="003427A6">
        <w:rPr>
          <w:rFonts w:ascii="Candara" w:hAnsi="Candara"/>
          <w:color w:val="0D0D0D" w:themeColor="text1" w:themeTint="F2"/>
        </w:rPr>
        <w:t xml:space="preserve">patients </w:t>
      </w:r>
      <w:r w:rsidR="00A01D84" w:rsidRPr="003427A6">
        <w:rPr>
          <w:rFonts w:ascii="Candara" w:hAnsi="Candara"/>
          <w:color w:val="0D0D0D" w:themeColor="text1" w:themeTint="F2"/>
        </w:rPr>
        <w:t>with T2DM</w:t>
      </w:r>
      <w:r w:rsidR="00102700" w:rsidRPr="003427A6">
        <w:rPr>
          <w:rFonts w:ascii="Candara" w:hAnsi="Candara"/>
          <w:color w:val="0D0D0D" w:themeColor="text1" w:themeTint="F2"/>
        </w:rPr>
        <w:t xml:space="preserve"> and eGFR </w:t>
      </w:r>
      <w:r w:rsidR="00D84037" w:rsidRPr="003427A6">
        <w:rPr>
          <w:rFonts w:ascii="Candara" w:hAnsi="Candara"/>
          <w:color w:val="0D0D0D" w:themeColor="text1" w:themeTint="F2"/>
        </w:rPr>
        <w:t>&gt;</w:t>
      </w:r>
      <w:r w:rsidR="00823657" w:rsidRPr="003427A6">
        <w:rPr>
          <w:rFonts w:ascii="Candara" w:hAnsi="Candara"/>
          <w:color w:val="0D0D0D" w:themeColor="text1" w:themeTint="F2"/>
        </w:rPr>
        <w:t>3</w:t>
      </w:r>
      <w:r w:rsidR="00102700" w:rsidRPr="003427A6">
        <w:rPr>
          <w:rFonts w:ascii="Candara" w:hAnsi="Candara"/>
          <w:color w:val="0D0D0D" w:themeColor="text1" w:themeTint="F2"/>
        </w:rPr>
        <w:t>0 ml/min/1.73m</w:t>
      </w:r>
      <w:r w:rsidR="00102700" w:rsidRPr="003427A6">
        <w:rPr>
          <w:rFonts w:ascii="Candara" w:hAnsi="Candara"/>
          <w:color w:val="0D0D0D" w:themeColor="text1" w:themeTint="F2"/>
          <w:vertAlign w:val="superscript"/>
        </w:rPr>
        <w:t>2</w:t>
      </w:r>
      <w:r w:rsidR="00102700" w:rsidRPr="003427A6">
        <w:rPr>
          <w:rFonts w:ascii="Candara" w:hAnsi="Candara"/>
          <w:color w:val="0D0D0D" w:themeColor="text1" w:themeTint="F2"/>
        </w:rPr>
        <w:t>.</w:t>
      </w:r>
      <w:r w:rsidR="005508CB" w:rsidRPr="003427A6">
        <w:rPr>
          <w:rStyle w:val="af8"/>
          <w:rFonts w:ascii="Candara" w:hAnsi="Candara"/>
          <w:color w:val="0D0D0D" w:themeColor="text1" w:themeTint="F2"/>
        </w:rPr>
        <w:endnoteReference w:id="28"/>
      </w:r>
      <w:r w:rsidR="005508CB" w:rsidRPr="003427A6">
        <w:rPr>
          <w:rFonts w:ascii="Candara" w:hAnsi="Candara"/>
          <w:color w:val="0D0D0D" w:themeColor="text1" w:themeTint="F2"/>
        </w:rPr>
        <w:t xml:space="preserve"> </w:t>
      </w:r>
      <w:bookmarkStart w:id="6" w:name="_Ref530980467"/>
      <w:r w:rsidR="00EA0C65" w:rsidRPr="003427A6">
        <w:rPr>
          <w:rStyle w:val="af8"/>
          <w:rFonts w:ascii="Candara" w:hAnsi="Candara"/>
          <w:color w:val="0D0D0D" w:themeColor="text1" w:themeTint="F2"/>
        </w:rPr>
        <w:endnoteReference w:id="29"/>
      </w:r>
      <w:bookmarkEnd w:id="6"/>
      <w:r w:rsidR="00102700" w:rsidRPr="003427A6">
        <w:rPr>
          <w:rFonts w:ascii="Candara" w:hAnsi="Candara"/>
          <w:color w:val="0D0D0D" w:themeColor="text1" w:themeTint="F2"/>
        </w:rPr>
        <w:t xml:space="preserve">   </w:t>
      </w:r>
      <w:bookmarkStart w:id="7" w:name="_Hlk535670354"/>
      <w:r w:rsidR="0045579D" w:rsidRPr="003427A6">
        <w:rPr>
          <w:rFonts w:ascii="Candara" w:hAnsi="Candara"/>
          <w:color w:val="0D0D0D" w:themeColor="text1" w:themeTint="F2"/>
        </w:rPr>
        <w:t xml:space="preserve">Unlike EMPA-REG, CANVAS </w:t>
      </w:r>
      <w:r w:rsidR="00456CF5" w:rsidRPr="003427A6">
        <w:rPr>
          <w:rFonts w:ascii="Candara" w:hAnsi="Candara"/>
          <w:color w:val="0D0D0D" w:themeColor="text1" w:themeTint="F2"/>
        </w:rPr>
        <w:t>included only 56% of patients with established cardiovascular disease</w:t>
      </w:r>
      <w:r w:rsidR="0045579D" w:rsidRPr="003427A6">
        <w:rPr>
          <w:rFonts w:ascii="Candara" w:hAnsi="Candara"/>
          <w:color w:val="0D0D0D" w:themeColor="text1" w:themeTint="F2"/>
        </w:rPr>
        <w:t xml:space="preserve">.  </w:t>
      </w:r>
      <w:bookmarkEnd w:id="7"/>
      <w:r w:rsidR="00102700" w:rsidRPr="003427A6">
        <w:rPr>
          <w:rFonts w:ascii="Candara" w:hAnsi="Candara"/>
          <w:color w:val="0D0D0D" w:themeColor="text1" w:themeTint="F2"/>
        </w:rPr>
        <w:t xml:space="preserve">Like EMPA-REG </w:t>
      </w:r>
      <w:r w:rsidR="00D84037" w:rsidRPr="003427A6">
        <w:rPr>
          <w:rFonts w:ascii="Candara" w:hAnsi="Candara"/>
          <w:color w:val="0D0D0D" w:themeColor="text1" w:themeTint="F2"/>
        </w:rPr>
        <w:t>OUTCOME</w:t>
      </w:r>
      <w:r w:rsidR="00102700" w:rsidRPr="003427A6">
        <w:rPr>
          <w:rFonts w:ascii="Candara" w:hAnsi="Candara"/>
          <w:color w:val="0D0D0D" w:themeColor="text1" w:themeTint="F2"/>
        </w:rPr>
        <w:t xml:space="preserve">, the cardiovascular and renal </w:t>
      </w:r>
      <w:r w:rsidR="00F970AF" w:rsidRPr="003427A6">
        <w:rPr>
          <w:rFonts w:ascii="Candara" w:hAnsi="Candara"/>
          <w:color w:val="0D0D0D" w:themeColor="text1" w:themeTint="F2"/>
        </w:rPr>
        <w:t>benefits</w:t>
      </w:r>
      <w:r w:rsidR="00102700" w:rsidRPr="003427A6">
        <w:rPr>
          <w:rFonts w:ascii="Candara" w:hAnsi="Candara"/>
          <w:color w:val="0D0D0D" w:themeColor="text1" w:themeTint="F2"/>
        </w:rPr>
        <w:t xml:space="preserve"> were evident with SGLT2i.    </w:t>
      </w:r>
      <w:r w:rsidR="00807138" w:rsidRPr="003427A6">
        <w:rPr>
          <w:rFonts w:ascii="Candara" w:hAnsi="Candara"/>
          <w:color w:val="0D0D0D" w:themeColor="text1" w:themeTint="F2"/>
        </w:rPr>
        <w:t xml:space="preserve">The </w:t>
      </w:r>
      <w:r w:rsidR="00807138" w:rsidRPr="003427A6">
        <w:rPr>
          <w:rFonts w:ascii="Candara" w:hAnsi="Candara"/>
          <w:color w:val="0D0D0D" w:themeColor="text1" w:themeTint="F2"/>
        </w:rPr>
        <w:lastRenderedPageBreak/>
        <w:t xml:space="preserve">primary </w:t>
      </w:r>
      <w:r w:rsidR="00D84037" w:rsidRPr="003427A6">
        <w:rPr>
          <w:rFonts w:ascii="Candara" w:hAnsi="Candara"/>
          <w:color w:val="0D0D0D" w:themeColor="text1" w:themeTint="F2"/>
        </w:rPr>
        <w:t xml:space="preserve">composite </w:t>
      </w:r>
      <w:r w:rsidR="00807138" w:rsidRPr="003427A6">
        <w:rPr>
          <w:rFonts w:ascii="Candara" w:hAnsi="Candara"/>
          <w:color w:val="0D0D0D" w:themeColor="text1" w:themeTint="F2"/>
        </w:rPr>
        <w:t xml:space="preserve">outcome </w:t>
      </w:r>
      <w:r w:rsidR="00D84037" w:rsidRPr="003427A6">
        <w:rPr>
          <w:rFonts w:ascii="Candara" w:hAnsi="Candara"/>
          <w:color w:val="0D0D0D" w:themeColor="text1" w:themeTint="F2"/>
        </w:rPr>
        <w:t xml:space="preserve">of death from cardiovascular causes, nonfatal </w:t>
      </w:r>
      <w:r w:rsidR="00FE775B" w:rsidRPr="003427A6">
        <w:rPr>
          <w:rFonts w:ascii="Candara" w:hAnsi="Candara"/>
          <w:color w:val="0D0D0D" w:themeColor="text1" w:themeTint="F2"/>
        </w:rPr>
        <w:t>MI</w:t>
      </w:r>
      <w:r w:rsidR="00D84037" w:rsidRPr="003427A6">
        <w:rPr>
          <w:rFonts w:ascii="Candara" w:hAnsi="Candara"/>
          <w:color w:val="0D0D0D" w:themeColor="text1" w:themeTint="F2"/>
        </w:rPr>
        <w:t xml:space="preserve">, or nonfatal stroke </w:t>
      </w:r>
      <w:r w:rsidR="00807138" w:rsidRPr="003427A6">
        <w:rPr>
          <w:rFonts w:ascii="Candara" w:hAnsi="Candara"/>
          <w:color w:val="0D0D0D" w:themeColor="text1" w:themeTint="F2"/>
        </w:rPr>
        <w:t>was lower with canagliflozin than with</w:t>
      </w:r>
      <w:r w:rsidR="00823657" w:rsidRPr="003427A6">
        <w:rPr>
          <w:rFonts w:ascii="Candara" w:hAnsi="Candara"/>
          <w:color w:val="0D0D0D" w:themeColor="text1" w:themeTint="F2"/>
        </w:rPr>
        <w:t xml:space="preserve"> p</w:t>
      </w:r>
      <w:r w:rsidR="00807138" w:rsidRPr="003427A6">
        <w:rPr>
          <w:rFonts w:ascii="Candara" w:hAnsi="Candara"/>
          <w:color w:val="0D0D0D" w:themeColor="text1" w:themeTint="F2"/>
        </w:rPr>
        <w:t>lacebo</w:t>
      </w:r>
      <w:r w:rsidR="00823657" w:rsidRPr="003427A6">
        <w:rPr>
          <w:rFonts w:ascii="Candara" w:hAnsi="Candara"/>
          <w:color w:val="0D0D0D" w:themeColor="text1" w:themeTint="F2"/>
        </w:rPr>
        <w:t xml:space="preserve">, </w:t>
      </w:r>
      <w:r w:rsidR="00D84037" w:rsidRPr="003427A6">
        <w:rPr>
          <w:rFonts w:ascii="Candara" w:hAnsi="Candara"/>
          <w:color w:val="0D0D0D" w:themeColor="text1" w:themeTint="F2"/>
        </w:rPr>
        <w:t>(</w:t>
      </w:r>
      <w:r w:rsidR="00823657" w:rsidRPr="003427A6">
        <w:rPr>
          <w:rFonts w:ascii="Candara" w:hAnsi="Candara"/>
          <w:color w:val="0D0D0D" w:themeColor="text1" w:themeTint="F2"/>
        </w:rPr>
        <w:t xml:space="preserve">HR= </w:t>
      </w:r>
      <w:r w:rsidR="00807138" w:rsidRPr="003427A6">
        <w:rPr>
          <w:rFonts w:ascii="Candara" w:hAnsi="Candara"/>
          <w:color w:val="0D0D0D" w:themeColor="text1" w:themeTint="F2"/>
        </w:rPr>
        <w:t>0.86</w:t>
      </w:r>
      <w:r w:rsidR="00D84037" w:rsidRPr="003427A6">
        <w:rPr>
          <w:rFonts w:ascii="Candara" w:hAnsi="Candara"/>
          <w:color w:val="0D0D0D" w:themeColor="text1" w:themeTint="F2"/>
        </w:rPr>
        <w:t xml:space="preserve">, </w:t>
      </w:r>
      <w:r w:rsidR="00807138" w:rsidRPr="003427A6">
        <w:rPr>
          <w:rFonts w:ascii="Candara" w:hAnsi="Candara"/>
          <w:color w:val="0D0D0D" w:themeColor="text1" w:themeTint="F2"/>
        </w:rPr>
        <w:t xml:space="preserve">95% </w:t>
      </w:r>
      <w:r w:rsidR="00823657" w:rsidRPr="003427A6">
        <w:rPr>
          <w:rFonts w:ascii="Candara" w:hAnsi="Candara"/>
          <w:color w:val="0D0D0D" w:themeColor="text1" w:themeTint="F2"/>
        </w:rPr>
        <w:t>CI</w:t>
      </w:r>
      <w:r w:rsidR="00D84037" w:rsidRPr="003427A6">
        <w:rPr>
          <w:rFonts w:ascii="Candara" w:hAnsi="Candara"/>
          <w:color w:val="0D0D0D" w:themeColor="text1" w:themeTint="F2"/>
        </w:rPr>
        <w:t xml:space="preserve"> =</w:t>
      </w:r>
      <w:r w:rsidR="00823657" w:rsidRPr="003427A6">
        <w:rPr>
          <w:rFonts w:ascii="Candara" w:hAnsi="Candara"/>
          <w:color w:val="0D0D0D" w:themeColor="text1" w:themeTint="F2"/>
        </w:rPr>
        <w:t xml:space="preserve"> </w:t>
      </w:r>
      <w:r w:rsidR="00807138" w:rsidRPr="003427A6">
        <w:rPr>
          <w:rFonts w:ascii="Candara" w:hAnsi="Candara"/>
          <w:color w:val="0D0D0D" w:themeColor="text1" w:themeTint="F2"/>
        </w:rPr>
        <w:t>0.75</w:t>
      </w:r>
      <w:r w:rsidR="00D84037" w:rsidRPr="003427A6">
        <w:rPr>
          <w:rFonts w:ascii="Candara" w:hAnsi="Candara"/>
          <w:color w:val="0D0D0D" w:themeColor="text1" w:themeTint="F2"/>
        </w:rPr>
        <w:t>-</w:t>
      </w:r>
      <w:r w:rsidR="00807138" w:rsidRPr="003427A6">
        <w:rPr>
          <w:rFonts w:ascii="Candara" w:hAnsi="Candara"/>
          <w:color w:val="0D0D0D" w:themeColor="text1" w:themeTint="F2"/>
        </w:rPr>
        <w:t>0.97</w:t>
      </w:r>
      <w:r w:rsidR="00D84037" w:rsidRPr="003427A6">
        <w:rPr>
          <w:rFonts w:ascii="Candara" w:hAnsi="Candara"/>
          <w:color w:val="0D0D0D" w:themeColor="text1" w:themeTint="F2"/>
        </w:rPr>
        <w:t>,</w:t>
      </w:r>
      <w:r w:rsidR="00807138" w:rsidRPr="003427A6">
        <w:rPr>
          <w:rFonts w:ascii="Candara" w:hAnsi="Candara"/>
          <w:color w:val="0D0D0D" w:themeColor="text1" w:themeTint="F2"/>
        </w:rPr>
        <w:t xml:space="preserve"> </w:t>
      </w:r>
      <w:r w:rsidR="00823657" w:rsidRPr="003427A6">
        <w:rPr>
          <w:rFonts w:ascii="Candara" w:hAnsi="Candara"/>
          <w:color w:val="0D0D0D" w:themeColor="text1" w:themeTint="F2"/>
        </w:rPr>
        <w:t>p</w:t>
      </w:r>
      <w:r w:rsidR="00807138" w:rsidRPr="003427A6">
        <w:rPr>
          <w:rFonts w:ascii="Candara" w:hAnsi="Candara"/>
          <w:color w:val="0D0D0D" w:themeColor="text1" w:themeTint="F2"/>
        </w:rPr>
        <w:t>=0.02</w:t>
      </w:r>
      <w:r w:rsidR="00D84037" w:rsidRPr="003427A6">
        <w:rPr>
          <w:rFonts w:ascii="Candara" w:hAnsi="Candara"/>
          <w:color w:val="0D0D0D" w:themeColor="text1" w:themeTint="F2"/>
        </w:rPr>
        <w:t>)</w:t>
      </w:r>
      <w:r w:rsidR="00807138" w:rsidRPr="003427A6">
        <w:rPr>
          <w:rFonts w:ascii="Candara" w:hAnsi="Candara"/>
          <w:color w:val="0D0D0D" w:themeColor="text1" w:themeTint="F2"/>
        </w:rPr>
        <w:t xml:space="preserve">. </w:t>
      </w:r>
      <w:r w:rsidR="00823657" w:rsidRPr="003427A6">
        <w:rPr>
          <w:rFonts w:ascii="Candara" w:hAnsi="Candara"/>
          <w:color w:val="0D0D0D" w:themeColor="text1" w:themeTint="F2"/>
        </w:rPr>
        <w:t xml:space="preserve">  </w:t>
      </w:r>
      <w:r w:rsidR="00B067B5" w:rsidRPr="003427A6">
        <w:rPr>
          <w:rFonts w:ascii="Candara" w:hAnsi="Candara"/>
          <w:color w:val="0D0D0D" w:themeColor="text1" w:themeTint="F2"/>
        </w:rPr>
        <w:t>HF</w:t>
      </w:r>
      <w:r w:rsidR="00823657" w:rsidRPr="003427A6">
        <w:rPr>
          <w:rFonts w:ascii="Candara" w:hAnsi="Candara"/>
          <w:color w:val="0D0D0D" w:themeColor="text1" w:themeTint="F2"/>
        </w:rPr>
        <w:t xml:space="preserve"> hospitalization or cardiovascular death was reduced with canagliflozin compared with placebo </w:t>
      </w:r>
      <w:r w:rsidR="00B067B5" w:rsidRPr="003427A6">
        <w:rPr>
          <w:rFonts w:ascii="Candara" w:hAnsi="Candara"/>
          <w:color w:val="0D0D0D" w:themeColor="text1" w:themeTint="F2"/>
        </w:rPr>
        <w:t>(</w:t>
      </w:r>
      <w:r w:rsidR="00823657" w:rsidRPr="003427A6">
        <w:rPr>
          <w:rFonts w:ascii="Candara" w:hAnsi="Candara"/>
          <w:color w:val="0D0D0D" w:themeColor="text1" w:themeTint="F2"/>
        </w:rPr>
        <w:t>HR=0.78</w:t>
      </w:r>
      <w:r w:rsidR="00B067B5" w:rsidRPr="003427A6">
        <w:rPr>
          <w:rFonts w:ascii="Candara" w:hAnsi="Candara"/>
          <w:color w:val="0D0D0D" w:themeColor="text1" w:themeTint="F2"/>
        </w:rPr>
        <w:t xml:space="preserve">, </w:t>
      </w:r>
      <w:r w:rsidR="00823657" w:rsidRPr="003427A6">
        <w:rPr>
          <w:rFonts w:ascii="Candara" w:hAnsi="Candara"/>
          <w:color w:val="0D0D0D" w:themeColor="text1" w:themeTint="F2"/>
        </w:rPr>
        <w:t>95% CI</w:t>
      </w:r>
      <w:r w:rsidR="00B067B5" w:rsidRPr="003427A6">
        <w:rPr>
          <w:rFonts w:ascii="Candara" w:hAnsi="Candara"/>
          <w:color w:val="0D0D0D" w:themeColor="text1" w:themeTint="F2"/>
        </w:rPr>
        <w:t xml:space="preserve"> =</w:t>
      </w:r>
      <w:r w:rsidR="00823657" w:rsidRPr="003427A6">
        <w:rPr>
          <w:rFonts w:ascii="Candara" w:hAnsi="Candara"/>
          <w:color w:val="0D0D0D" w:themeColor="text1" w:themeTint="F2"/>
        </w:rPr>
        <w:t xml:space="preserve"> 0.67–0.91</w:t>
      </w:r>
      <w:r w:rsidR="00B067B5" w:rsidRPr="003427A6">
        <w:rPr>
          <w:rFonts w:ascii="Candara" w:hAnsi="Candara"/>
          <w:color w:val="0D0D0D" w:themeColor="text1" w:themeTint="F2"/>
        </w:rPr>
        <w:t>)</w:t>
      </w:r>
      <w:r w:rsidR="00823657" w:rsidRPr="003427A6">
        <w:rPr>
          <w:rFonts w:ascii="Candara" w:hAnsi="Candara"/>
          <w:color w:val="0D0D0D" w:themeColor="text1" w:themeTint="F2"/>
        </w:rPr>
        <w:t xml:space="preserve"> as</w:t>
      </w:r>
      <w:r w:rsidR="00EA0C65" w:rsidRPr="003427A6">
        <w:rPr>
          <w:rFonts w:ascii="Candara" w:hAnsi="Candara"/>
          <w:color w:val="0D0D0D" w:themeColor="text1" w:themeTint="F2"/>
        </w:rPr>
        <w:t xml:space="preserve"> </w:t>
      </w:r>
      <w:r w:rsidR="00823657" w:rsidRPr="003427A6">
        <w:rPr>
          <w:rFonts w:ascii="Candara" w:hAnsi="Candara"/>
          <w:color w:val="0D0D0D" w:themeColor="text1" w:themeTint="F2"/>
        </w:rPr>
        <w:t xml:space="preserve">was fatal or hospitalized </w:t>
      </w:r>
      <w:r w:rsidR="00B067B5" w:rsidRPr="003427A6">
        <w:rPr>
          <w:rFonts w:ascii="Candara" w:hAnsi="Candara"/>
          <w:color w:val="0D0D0D" w:themeColor="text1" w:themeTint="F2"/>
        </w:rPr>
        <w:t>HF</w:t>
      </w:r>
      <w:r w:rsidR="00823657" w:rsidRPr="003427A6">
        <w:rPr>
          <w:rFonts w:ascii="Candara" w:hAnsi="Candara"/>
          <w:color w:val="0D0D0D" w:themeColor="text1" w:themeTint="F2"/>
        </w:rPr>
        <w:t xml:space="preserve"> (HR</w:t>
      </w:r>
      <w:r w:rsidR="00B067B5" w:rsidRPr="003427A6">
        <w:rPr>
          <w:rFonts w:ascii="Candara" w:hAnsi="Candara"/>
          <w:color w:val="0D0D0D" w:themeColor="text1" w:themeTint="F2"/>
        </w:rPr>
        <w:t>=</w:t>
      </w:r>
      <w:r w:rsidR="00823657" w:rsidRPr="003427A6">
        <w:rPr>
          <w:rFonts w:ascii="Candara" w:hAnsi="Candara"/>
          <w:color w:val="0D0D0D" w:themeColor="text1" w:themeTint="F2"/>
        </w:rPr>
        <w:t>0.70</w:t>
      </w:r>
      <w:r w:rsidR="00B067B5" w:rsidRPr="003427A6">
        <w:rPr>
          <w:rFonts w:ascii="Candara" w:hAnsi="Candara"/>
          <w:color w:val="0D0D0D" w:themeColor="text1" w:themeTint="F2"/>
        </w:rPr>
        <w:t xml:space="preserve">, </w:t>
      </w:r>
      <w:r w:rsidR="00823657" w:rsidRPr="003427A6">
        <w:rPr>
          <w:rFonts w:ascii="Candara" w:hAnsi="Candara"/>
          <w:color w:val="0D0D0D" w:themeColor="text1" w:themeTint="F2"/>
        </w:rPr>
        <w:t>95% CI</w:t>
      </w:r>
      <w:r w:rsidR="00B067B5" w:rsidRPr="003427A6">
        <w:rPr>
          <w:rFonts w:ascii="Candara" w:hAnsi="Candara"/>
          <w:color w:val="0D0D0D" w:themeColor="text1" w:themeTint="F2"/>
        </w:rPr>
        <w:t xml:space="preserve"> =</w:t>
      </w:r>
      <w:r w:rsidR="00823657" w:rsidRPr="003427A6">
        <w:rPr>
          <w:rFonts w:ascii="Candara" w:hAnsi="Candara"/>
          <w:color w:val="0D0D0D" w:themeColor="text1" w:themeTint="F2"/>
        </w:rPr>
        <w:t xml:space="preserve"> 0.55–0.89) and hospitalized </w:t>
      </w:r>
      <w:r w:rsidR="00B067B5" w:rsidRPr="003427A6">
        <w:rPr>
          <w:rFonts w:ascii="Candara" w:hAnsi="Candara"/>
          <w:color w:val="0D0D0D" w:themeColor="text1" w:themeTint="F2"/>
        </w:rPr>
        <w:t>HF</w:t>
      </w:r>
      <w:r w:rsidR="00823657" w:rsidRPr="003427A6">
        <w:rPr>
          <w:rFonts w:ascii="Candara" w:hAnsi="Candara"/>
          <w:color w:val="0D0D0D" w:themeColor="text1" w:themeTint="F2"/>
        </w:rPr>
        <w:t xml:space="preserve"> alone (HR</w:t>
      </w:r>
      <w:r w:rsidR="00B067B5" w:rsidRPr="003427A6">
        <w:rPr>
          <w:rFonts w:ascii="Candara" w:hAnsi="Candara"/>
          <w:color w:val="0D0D0D" w:themeColor="text1" w:themeTint="F2"/>
        </w:rPr>
        <w:t>=</w:t>
      </w:r>
      <w:r w:rsidR="00823657" w:rsidRPr="003427A6">
        <w:rPr>
          <w:rFonts w:ascii="Candara" w:hAnsi="Candara"/>
          <w:color w:val="0D0D0D" w:themeColor="text1" w:themeTint="F2"/>
        </w:rPr>
        <w:t>0.67</w:t>
      </w:r>
      <w:r w:rsidR="00B067B5" w:rsidRPr="003427A6">
        <w:rPr>
          <w:rFonts w:ascii="Candara" w:hAnsi="Candara"/>
          <w:color w:val="0D0D0D" w:themeColor="text1" w:themeTint="F2"/>
        </w:rPr>
        <w:t>,</w:t>
      </w:r>
      <w:r w:rsidR="00823657" w:rsidRPr="003427A6">
        <w:rPr>
          <w:rFonts w:ascii="Candara" w:hAnsi="Candara"/>
          <w:color w:val="0D0D0D" w:themeColor="text1" w:themeTint="F2"/>
        </w:rPr>
        <w:t xml:space="preserve"> 95% CI</w:t>
      </w:r>
      <w:r w:rsidR="00B067B5" w:rsidRPr="003427A6">
        <w:rPr>
          <w:rFonts w:ascii="Candara" w:hAnsi="Candara"/>
          <w:color w:val="0D0D0D" w:themeColor="text1" w:themeTint="F2"/>
        </w:rPr>
        <w:t xml:space="preserve"> =</w:t>
      </w:r>
      <w:r w:rsidR="00823657" w:rsidRPr="003427A6">
        <w:rPr>
          <w:rFonts w:ascii="Candara" w:hAnsi="Candara"/>
          <w:color w:val="0D0D0D" w:themeColor="text1" w:themeTint="F2"/>
        </w:rPr>
        <w:t xml:space="preserve"> 0.52–0.87).</w:t>
      </w:r>
      <w:r w:rsidR="00EA0C65" w:rsidRPr="003427A6">
        <w:rPr>
          <w:rStyle w:val="af8"/>
          <w:rFonts w:ascii="Candara" w:hAnsi="Candara"/>
          <w:color w:val="0D0D0D" w:themeColor="text1" w:themeTint="F2"/>
        </w:rPr>
        <w:endnoteReference w:id="30"/>
      </w:r>
      <w:r w:rsidR="00823657" w:rsidRPr="003427A6">
        <w:rPr>
          <w:rFonts w:ascii="Candara" w:hAnsi="Candara"/>
          <w:color w:val="0D0D0D" w:themeColor="text1" w:themeTint="F2"/>
        </w:rPr>
        <w:t xml:space="preserve">  C</w:t>
      </w:r>
      <w:r w:rsidR="00807138" w:rsidRPr="003427A6">
        <w:rPr>
          <w:rFonts w:ascii="Candara" w:hAnsi="Candara"/>
          <w:color w:val="0D0D0D" w:themeColor="text1" w:themeTint="F2"/>
        </w:rPr>
        <w:t>anagliflozin</w:t>
      </w:r>
      <w:r w:rsidR="00823657" w:rsidRPr="003427A6">
        <w:rPr>
          <w:rFonts w:ascii="Candara" w:hAnsi="Candara"/>
          <w:color w:val="0D0D0D" w:themeColor="text1" w:themeTint="F2"/>
        </w:rPr>
        <w:t xml:space="preserve"> reduced the </w:t>
      </w:r>
      <w:r w:rsidR="00807138" w:rsidRPr="003427A6">
        <w:rPr>
          <w:rFonts w:ascii="Candara" w:hAnsi="Candara"/>
          <w:color w:val="0D0D0D" w:themeColor="text1" w:themeTint="F2"/>
        </w:rPr>
        <w:t>progression</w:t>
      </w:r>
      <w:r w:rsidR="00EA0C65" w:rsidRPr="003427A6">
        <w:rPr>
          <w:rFonts w:ascii="Candara" w:hAnsi="Candara"/>
          <w:color w:val="0D0D0D" w:themeColor="text1" w:themeTint="F2"/>
        </w:rPr>
        <w:t xml:space="preserve"> </w:t>
      </w:r>
      <w:r w:rsidR="00807138" w:rsidRPr="003427A6">
        <w:rPr>
          <w:rFonts w:ascii="Candara" w:hAnsi="Candara"/>
          <w:color w:val="0D0D0D" w:themeColor="text1" w:themeTint="F2"/>
        </w:rPr>
        <w:t>of albuminuria (</w:t>
      </w:r>
      <w:r w:rsidR="00B067B5" w:rsidRPr="003427A6">
        <w:rPr>
          <w:rFonts w:ascii="Candara" w:hAnsi="Candara"/>
          <w:color w:val="0D0D0D" w:themeColor="text1" w:themeTint="F2"/>
        </w:rPr>
        <w:t>HR=</w:t>
      </w:r>
      <w:r w:rsidR="00807138" w:rsidRPr="003427A6">
        <w:rPr>
          <w:rFonts w:ascii="Candara" w:hAnsi="Candara"/>
          <w:color w:val="0D0D0D" w:themeColor="text1" w:themeTint="F2"/>
        </w:rPr>
        <w:t>0.73</w:t>
      </w:r>
      <w:r w:rsidR="00B067B5" w:rsidRPr="003427A6">
        <w:rPr>
          <w:rFonts w:ascii="Candara" w:hAnsi="Candara"/>
          <w:color w:val="0D0D0D" w:themeColor="text1" w:themeTint="F2"/>
        </w:rPr>
        <w:t xml:space="preserve">, </w:t>
      </w:r>
      <w:r w:rsidR="00807138" w:rsidRPr="003427A6">
        <w:rPr>
          <w:rFonts w:ascii="Candara" w:hAnsi="Candara"/>
          <w:color w:val="0D0D0D" w:themeColor="text1" w:themeTint="F2"/>
        </w:rPr>
        <w:t>95% CI</w:t>
      </w:r>
      <w:r w:rsidR="00B067B5" w:rsidRPr="003427A6">
        <w:rPr>
          <w:rFonts w:ascii="Candara" w:hAnsi="Candara"/>
          <w:color w:val="0D0D0D" w:themeColor="text1" w:themeTint="F2"/>
        </w:rPr>
        <w:t xml:space="preserve"> =</w:t>
      </w:r>
      <w:r w:rsidR="00807138" w:rsidRPr="003427A6">
        <w:rPr>
          <w:rFonts w:ascii="Candara" w:hAnsi="Candara"/>
          <w:color w:val="0D0D0D" w:themeColor="text1" w:themeTint="F2"/>
        </w:rPr>
        <w:t xml:space="preserve"> 0.67</w:t>
      </w:r>
      <w:r w:rsidR="00B067B5" w:rsidRPr="003427A6">
        <w:rPr>
          <w:rFonts w:ascii="Candara" w:hAnsi="Candara"/>
          <w:color w:val="0D0D0D" w:themeColor="text1" w:themeTint="F2"/>
        </w:rPr>
        <w:t>-</w:t>
      </w:r>
      <w:r w:rsidR="00807138" w:rsidRPr="003427A6">
        <w:rPr>
          <w:rFonts w:ascii="Candara" w:hAnsi="Candara"/>
          <w:color w:val="0D0D0D" w:themeColor="text1" w:themeTint="F2"/>
        </w:rPr>
        <w:t>0.79) and the composite outcome</w:t>
      </w:r>
      <w:r w:rsidR="00EA0C65" w:rsidRPr="003427A6">
        <w:rPr>
          <w:rFonts w:ascii="Candara" w:hAnsi="Candara"/>
          <w:color w:val="0D0D0D" w:themeColor="text1" w:themeTint="F2"/>
        </w:rPr>
        <w:t xml:space="preserve"> </w:t>
      </w:r>
      <w:r w:rsidR="00807138" w:rsidRPr="003427A6">
        <w:rPr>
          <w:rFonts w:ascii="Candara" w:hAnsi="Candara"/>
          <w:color w:val="0D0D0D" w:themeColor="text1" w:themeTint="F2"/>
        </w:rPr>
        <w:t xml:space="preserve">of a sustained 40% </w:t>
      </w:r>
      <w:r w:rsidR="00B067B5" w:rsidRPr="003427A6">
        <w:rPr>
          <w:rFonts w:ascii="Candara" w:hAnsi="Candara"/>
          <w:color w:val="0D0D0D" w:themeColor="text1" w:themeTint="F2"/>
        </w:rPr>
        <w:t xml:space="preserve">eGFR </w:t>
      </w:r>
      <w:r w:rsidR="00807138" w:rsidRPr="003427A6">
        <w:rPr>
          <w:rFonts w:ascii="Candara" w:hAnsi="Candara"/>
          <w:color w:val="0D0D0D" w:themeColor="text1" w:themeTint="F2"/>
        </w:rPr>
        <w:t>reduction, the</w:t>
      </w:r>
      <w:r w:rsidR="00EA0C65" w:rsidRPr="003427A6">
        <w:rPr>
          <w:rFonts w:ascii="Candara" w:hAnsi="Candara"/>
          <w:color w:val="0D0D0D" w:themeColor="text1" w:themeTint="F2"/>
        </w:rPr>
        <w:t xml:space="preserve"> </w:t>
      </w:r>
      <w:r w:rsidR="00807138" w:rsidRPr="003427A6">
        <w:rPr>
          <w:rFonts w:ascii="Candara" w:hAnsi="Candara"/>
          <w:color w:val="0D0D0D" w:themeColor="text1" w:themeTint="F2"/>
        </w:rPr>
        <w:t>need for renal-replacement therapy, or death from renal causes</w:t>
      </w:r>
      <w:r w:rsidR="00823657" w:rsidRPr="003427A6">
        <w:rPr>
          <w:rFonts w:ascii="Candara" w:hAnsi="Candara"/>
          <w:color w:val="0D0D0D" w:themeColor="text1" w:themeTint="F2"/>
        </w:rPr>
        <w:t xml:space="preserve"> </w:t>
      </w:r>
      <w:r w:rsidR="00B067B5" w:rsidRPr="003427A6">
        <w:rPr>
          <w:rFonts w:ascii="Candara" w:hAnsi="Candara"/>
          <w:color w:val="0D0D0D" w:themeColor="text1" w:themeTint="F2"/>
        </w:rPr>
        <w:t>(</w:t>
      </w:r>
      <w:r w:rsidR="00823657" w:rsidRPr="003427A6">
        <w:rPr>
          <w:rFonts w:ascii="Candara" w:hAnsi="Candara"/>
          <w:color w:val="0D0D0D" w:themeColor="text1" w:themeTint="F2"/>
        </w:rPr>
        <w:t>HR=</w:t>
      </w:r>
      <w:r w:rsidR="00807138" w:rsidRPr="003427A6">
        <w:rPr>
          <w:rFonts w:ascii="Candara" w:hAnsi="Candara"/>
          <w:color w:val="0D0D0D" w:themeColor="text1" w:themeTint="F2"/>
        </w:rPr>
        <w:t>0.60</w:t>
      </w:r>
      <w:r w:rsidR="00B067B5" w:rsidRPr="003427A6">
        <w:rPr>
          <w:rFonts w:ascii="Candara" w:hAnsi="Candara"/>
          <w:color w:val="0D0D0D" w:themeColor="text1" w:themeTint="F2"/>
        </w:rPr>
        <w:t>,</w:t>
      </w:r>
      <w:r w:rsidR="00F837B0" w:rsidRPr="003427A6">
        <w:rPr>
          <w:rFonts w:ascii="Candara" w:hAnsi="Candara"/>
          <w:color w:val="0D0D0D" w:themeColor="text1" w:themeTint="F2"/>
        </w:rPr>
        <w:t xml:space="preserve"> </w:t>
      </w:r>
      <w:r w:rsidR="00807138" w:rsidRPr="003427A6">
        <w:rPr>
          <w:rFonts w:ascii="Candara" w:hAnsi="Candara"/>
          <w:color w:val="0D0D0D" w:themeColor="text1" w:themeTint="F2"/>
        </w:rPr>
        <w:t>95% CI</w:t>
      </w:r>
      <w:r w:rsidR="00B067B5" w:rsidRPr="003427A6">
        <w:rPr>
          <w:rFonts w:ascii="Candara" w:hAnsi="Candara"/>
          <w:color w:val="0D0D0D" w:themeColor="text1" w:themeTint="F2"/>
        </w:rPr>
        <w:t xml:space="preserve"> = </w:t>
      </w:r>
      <w:r w:rsidR="00807138" w:rsidRPr="003427A6">
        <w:rPr>
          <w:rFonts w:ascii="Candara" w:hAnsi="Candara"/>
          <w:color w:val="0D0D0D" w:themeColor="text1" w:themeTint="F2"/>
        </w:rPr>
        <w:t>0.47</w:t>
      </w:r>
      <w:r w:rsidR="00B067B5" w:rsidRPr="003427A6">
        <w:rPr>
          <w:rFonts w:ascii="Candara" w:hAnsi="Candara"/>
          <w:color w:val="0D0D0D" w:themeColor="text1" w:themeTint="F2"/>
        </w:rPr>
        <w:t>-</w:t>
      </w:r>
      <w:r w:rsidR="00807138" w:rsidRPr="003427A6">
        <w:rPr>
          <w:rFonts w:ascii="Candara" w:hAnsi="Candara"/>
          <w:color w:val="0D0D0D" w:themeColor="text1" w:themeTint="F2"/>
        </w:rPr>
        <w:t>0.77</w:t>
      </w:r>
      <w:r w:rsidR="00B067B5" w:rsidRPr="003427A6">
        <w:rPr>
          <w:rFonts w:ascii="Candara" w:hAnsi="Candara"/>
          <w:color w:val="0D0D0D" w:themeColor="text1" w:themeTint="F2"/>
        </w:rPr>
        <w:t>)</w:t>
      </w:r>
      <w:r w:rsidR="00807138" w:rsidRPr="003427A6">
        <w:rPr>
          <w:rFonts w:ascii="Candara" w:hAnsi="Candara"/>
          <w:color w:val="0D0D0D" w:themeColor="text1" w:themeTint="F2"/>
        </w:rPr>
        <w:t>.</w:t>
      </w:r>
      <w:r w:rsidR="00ED1C06" w:rsidRPr="003427A6">
        <w:rPr>
          <w:rFonts w:ascii="Candara" w:hAnsi="Candara"/>
          <w:color w:val="0D0D0D" w:themeColor="text1" w:themeTint="F2"/>
        </w:rPr>
        <w:t xml:space="preserve">  </w:t>
      </w:r>
      <w:r w:rsidR="006F7841" w:rsidRPr="003427A6">
        <w:rPr>
          <w:rFonts w:ascii="Candara" w:hAnsi="Candara"/>
          <w:color w:val="0D0D0D" w:themeColor="text1" w:themeTint="F2"/>
        </w:rPr>
        <w:t>Patients treated with canagliflozin had nearly a two-fold i</w:t>
      </w:r>
      <w:r w:rsidR="00ED1C06" w:rsidRPr="003427A6">
        <w:rPr>
          <w:rFonts w:ascii="Candara" w:hAnsi="Candara"/>
          <w:color w:val="0D0D0D" w:themeColor="text1" w:themeTint="F2"/>
        </w:rPr>
        <w:t xml:space="preserve">ncreased risk of </w:t>
      </w:r>
      <w:r w:rsidR="001F4B82" w:rsidRPr="003427A6">
        <w:rPr>
          <w:rFonts w:ascii="Candara" w:hAnsi="Candara"/>
          <w:color w:val="0D0D0D" w:themeColor="text1" w:themeTint="F2"/>
        </w:rPr>
        <w:t xml:space="preserve">limb </w:t>
      </w:r>
      <w:r w:rsidR="00ED1C06" w:rsidRPr="003427A6">
        <w:rPr>
          <w:rFonts w:ascii="Candara" w:hAnsi="Candara"/>
          <w:color w:val="0D0D0D" w:themeColor="text1" w:themeTint="F2"/>
        </w:rPr>
        <w:t xml:space="preserve">amputation </w:t>
      </w:r>
      <w:r w:rsidR="006F7841" w:rsidRPr="003427A6">
        <w:rPr>
          <w:rFonts w:ascii="Candara" w:hAnsi="Candara"/>
          <w:color w:val="0D0D0D" w:themeColor="text1" w:themeTint="F2"/>
        </w:rPr>
        <w:t>(</w:t>
      </w:r>
      <w:r w:rsidR="00ED1C06" w:rsidRPr="003427A6">
        <w:rPr>
          <w:rFonts w:ascii="Candara" w:hAnsi="Candara"/>
          <w:color w:val="0D0D0D" w:themeColor="text1" w:themeTint="F2"/>
        </w:rPr>
        <w:t>6.3 vs. 3.4 participants per 1000 patient-years</w:t>
      </w:r>
      <w:r w:rsidR="006F7841" w:rsidRPr="003427A6">
        <w:rPr>
          <w:rFonts w:ascii="Candara" w:hAnsi="Candara"/>
          <w:color w:val="0D0D0D" w:themeColor="text1" w:themeTint="F2"/>
        </w:rPr>
        <w:t xml:space="preserve">; </w:t>
      </w:r>
      <w:r w:rsidR="00ED1C06" w:rsidRPr="003427A6">
        <w:rPr>
          <w:rFonts w:ascii="Candara" w:hAnsi="Candara"/>
          <w:color w:val="0D0D0D" w:themeColor="text1" w:themeTint="F2"/>
        </w:rPr>
        <w:t>HR=1.97</w:t>
      </w:r>
      <w:r w:rsidR="00983E2E" w:rsidRPr="003427A6">
        <w:rPr>
          <w:rFonts w:ascii="Candara" w:hAnsi="Candara"/>
          <w:color w:val="0D0D0D" w:themeColor="text1" w:themeTint="F2"/>
        </w:rPr>
        <w:t>,</w:t>
      </w:r>
      <w:r w:rsidR="00ED1C06" w:rsidRPr="003427A6">
        <w:rPr>
          <w:rFonts w:ascii="Candara" w:hAnsi="Candara"/>
          <w:color w:val="0D0D0D" w:themeColor="text1" w:themeTint="F2"/>
        </w:rPr>
        <w:t xml:space="preserve"> 95% CI</w:t>
      </w:r>
      <w:r w:rsidR="00983E2E" w:rsidRPr="003427A6">
        <w:rPr>
          <w:rFonts w:ascii="Candara" w:hAnsi="Candara"/>
          <w:color w:val="0D0D0D" w:themeColor="text1" w:themeTint="F2"/>
        </w:rPr>
        <w:t xml:space="preserve"> = </w:t>
      </w:r>
      <w:r w:rsidR="00ED1C06" w:rsidRPr="003427A6">
        <w:rPr>
          <w:rFonts w:ascii="Candara" w:hAnsi="Candara"/>
          <w:color w:val="0D0D0D" w:themeColor="text1" w:themeTint="F2"/>
        </w:rPr>
        <w:t>1.41</w:t>
      </w:r>
      <w:r w:rsidR="00983E2E" w:rsidRPr="003427A6">
        <w:rPr>
          <w:rFonts w:ascii="Candara" w:hAnsi="Candara"/>
          <w:color w:val="0D0D0D" w:themeColor="text1" w:themeTint="F2"/>
        </w:rPr>
        <w:t>-</w:t>
      </w:r>
      <w:r w:rsidR="00ED1C06" w:rsidRPr="003427A6">
        <w:rPr>
          <w:rFonts w:ascii="Candara" w:hAnsi="Candara"/>
          <w:color w:val="0D0D0D" w:themeColor="text1" w:themeTint="F2"/>
        </w:rPr>
        <w:t>2.75</w:t>
      </w:r>
      <w:r w:rsidR="00983E2E" w:rsidRPr="003427A6">
        <w:rPr>
          <w:rFonts w:ascii="Candara" w:hAnsi="Candara"/>
          <w:color w:val="0D0D0D" w:themeColor="text1" w:themeTint="F2"/>
        </w:rPr>
        <w:t>)</w:t>
      </w:r>
      <w:r w:rsidR="00ED1C06" w:rsidRPr="003427A6">
        <w:rPr>
          <w:rFonts w:ascii="Candara" w:hAnsi="Candara"/>
          <w:color w:val="0D0D0D" w:themeColor="text1" w:themeTint="F2"/>
        </w:rPr>
        <w:t>; amputations were primarily of the toe or metatarsal.</w:t>
      </w:r>
      <w:r w:rsidR="00ED1C06" w:rsidRPr="003427A6">
        <w:rPr>
          <w:rFonts w:ascii="Candara" w:hAnsi="Candara"/>
          <w:color w:val="0D0D0D" w:themeColor="text1" w:themeTint="F2"/>
        </w:rPr>
        <w:fldChar w:fldCharType="begin"/>
      </w:r>
      <w:r w:rsidR="00ED1C06" w:rsidRPr="003427A6">
        <w:rPr>
          <w:rFonts w:ascii="Candara" w:hAnsi="Candara"/>
          <w:color w:val="0D0D0D" w:themeColor="text1" w:themeTint="F2"/>
        </w:rPr>
        <w:instrText xml:space="preserve"> NOTEREF _Ref530980467 \f \h </w:instrText>
      </w:r>
      <w:r w:rsidR="00623475" w:rsidRPr="003427A6">
        <w:rPr>
          <w:rFonts w:ascii="Candara" w:hAnsi="Candara"/>
          <w:color w:val="0D0D0D" w:themeColor="text1" w:themeTint="F2"/>
        </w:rPr>
        <w:instrText xml:space="preserve"> \* MERGEFORMAT </w:instrText>
      </w:r>
      <w:r w:rsidR="00ED1C06" w:rsidRPr="003427A6">
        <w:rPr>
          <w:rFonts w:ascii="Candara" w:hAnsi="Candara"/>
          <w:color w:val="0D0D0D" w:themeColor="text1" w:themeTint="F2"/>
        </w:rPr>
      </w:r>
      <w:r w:rsidR="00ED1C06" w:rsidRPr="003427A6">
        <w:rPr>
          <w:rFonts w:ascii="Candara" w:hAnsi="Candara"/>
          <w:color w:val="0D0D0D" w:themeColor="text1" w:themeTint="F2"/>
        </w:rPr>
        <w:fldChar w:fldCharType="separate"/>
      </w:r>
      <w:r w:rsidR="00ED1C06" w:rsidRPr="003427A6">
        <w:rPr>
          <w:rStyle w:val="af8"/>
        </w:rPr>
        <w:t>24</w:t>
      </w:r>
      <w:r w:rsidR="00ED1C06" w:rsidRPr="003427A6">
        <w:rPr>
          <w:rFonts w:ascii="Candara" w:hAnsi="Candara"/>
          <w:color w:val="0D0D0D" w:themeColor="text1" w:themeTint="F2"/>
        </w:rPr>
        <w:fldChar w:fldCharType="end"/>
      </w:r>
      <w:r w:rsidR="00823657" w:rsidRPr="003427A6">
        <w:rPr>
          <w:rFonts w:ascii="Candara" w:hAnsi="Candara"/>
          <w:color w:val="0D0D0D" w:themeColor="text1" w:themeTint="F2"/>
        </w:rPr>
        <w:t xml:space="preserve">  </w:t>
      </w:r>
      <w:r w:rsidR="008A70C0" w:rsidRPr="003427A6">
        <w:rPr>
          <w:rFonts w:ascii="Candara" w:hAnsi="Candara"/>
          <w:color w:val="0D0D0D" w:themeColor="text1" w:themeTint="F2"/>
        </w:rPr>
        <w:t xml:space="preserve">As in </w:t>
      </w:r>
      <w:r w:rsidR="00823657" w:rsidRPr="003427A6">
        <w:rPr>
          <w:rFonts w:ascii="Candara" w:hAnsi="Candara"/>
          <w:color w:val="0D0D0D" w:themeColor="text1" w:themeTint="F2"/>
        </w:rPr>
        <w:t>the EMPA-REG</w:t>
      </w:r>
      <w:r w:rsidR="00983E2E" w:rsidRPr="003427A6">
        <w:rPr>
          <w:rFonts w:ascii="Candara" w:hAnsi="Candara"/>
          <w:color w:val="0D0D0D" w:themeColor="text1" w:themeTint="F2"/>
        </w:rPr>
        <w:t xml:space="preserve"> OUTCOME</w:t>
      </w:r>
      <w:r w:rsidR="00823657" w:rsidRPr="003427A6">
        <w:rPr>
          <w:rFonts w:ascii="Candara" w:hAnsi="Candara"/>
          <w:color w:val="0D0D0D" w:themeColor="text1" w:themeTint="F2"/>
        </w:rPr>
        <w:t xml:space="preserve"> trial, the reductions in cardiorenal endpoints were out of proportion to changes in glycemic control, blood pressure, and body weight.</w:t>
      </w:r>
    </w:p>
    <w:p w14:paraId="26173B28" w14:textId="77777777" w:rsidR="00D81924" w:rsidRPr="003427A6" w:rsidRDefault="00D81924" w:rsidP="00807138">
      <w:pPr>
        <w:spacing w:line="360" w:lineRule="auto"/>
        <w:rPr>
          <w:rFonts w:ascii="Candara" w:hAnsi="Candara"/>
          <w:color w:val="0D0D0D" w:themeColor="text1" w:themeTint="F2"/>
        </w:rPr>
      </w:pPr>
    </w:p>
    <w:p w14:paraId="55620A86" w14:textId="40DD193D" w:rsidR="00823657" w:rsidRPr="003427A6" w:rsidRDefault="00823657" w:rsidP="00823657">
      <w:pPr>
        <w:spacing w:line="360" w:lineRule="auto"/>
        <w:rPr>
          <w:rFonts w:ascii="Candara" w:hAnsi="Candara"/>
          <w:b/>
          <w:color w:val="0D0D0D" w:themeColor="text1" w:themeTint="F2"/>
        </w:rPr>
      </w:pPr>
      <w:r w:rsidRPr="003427A6">
        <w:rPr>
          <w:rFonts w:ascii="Candara" w:hAnsi="Candara"/>
          <w:b/>
          <w:color w:val="0D0D0D" w:themeColor="text1" w:themeTint="F2"/>
        </w:rPr>
        <w:t xml:space="preserve">The </w:t>
      </w:r>
      <w:r w:rsidRPr="003427A6">
        <w:rPr>
          <w:rFonts w:ascii="Candara" w:hAnsi="Candara"/>
          <w:b/>
          <w:i/>
          <w:color w:val="0D0D0D" w:themeColor="text1" w:themeTint="F2"/>
        </w:rPr>
        <w:t>DECLARE-TIMI 58</w:t>
      </w:r>
      <w:r w:rsidRPr="003427A6">
        <w:rPr>
          <w:rFonts w:ascii="Candara" w:hAnsi="Candara"/>
          <w:b/>
          <w:color w:val="0D0D0D" w:themeColor="text1" w:themeTint="F2"/>
        </w:rPr>
        <w:t xml:space="preserve"> Trial</w:t>
      </w:r>
    </w:p>
    <w:p w14:paraId="7D1E15FE" w14:textId="77777777" w:rsidR="00C5008F" w:rsidRPr="003427A6" w:rsidRDefault="00C5008F" w:rsidP="00823657">
      <w:pPr>
        <w:spacing w:line="360" w:lineRule="auto"/>
        <w:rPr>
          <w:rFonts w:ascii="Candara" w:hAnsi="Candara"/>
          <w:b/>
          <w:color w:val="0D0D0D" w:themeColor="text1" w:themeTint="F2"/>
        </w:rPr>
      </w:pPr>
    </w:p>
    <w:p w14:paraId="0AC777FA" w14:textId="6B4CA241" w:rsidR="00823657" w:rsidRPr="003427A6" w:rsidRDefault="00EA0C65" w:rsidP="00EA0C65">
      <w:pPr>
        <w:spacing w:line="360" w:lineRule="auto"/>
        <w:rPr>
          <w:rFonts w:ascii="Candara" w:hAnsi="Candara"/>
          <w:color w:val="0D0D0D" w:themeColor="text1" w:themeTint="F2"/>
        </w:rPr>
      </w:pPr>
      <w:r w:rsidRPr="003427A6">
        <w:rPr>
          <w:rFonts w:ascii="Candara" w:hAnsi="Candara"/>
          <w:color w:val="0D0D0D" w:themeColor="text1" w:themeTint="F2"/>
        </w:rPr>
        <w:tab/>
        <w:t xml:space="preserve">Unlike EMPA-REG </w:t>
      </w:r>
      <w:r w:rsidR="00642BE4" w:rsidRPr="003427A6">
        <w:rPr>
          <w:rFonts w:ascii="Candara" w:hAnsi="Candara"/>
          <w:color w:val="0D0D0D" w:themeColor="text1" w:themeTint="F2"/>
        </w:rPr>
        <w:t xml:space="preserve">OUTCOME </w:t>
      </w:r>
      <w:r w:rsidRPr="003427A6">
        <w:rPr>
          <w:rFonts w:ascii="Candara" w:hAnsi="Candara"/>
          <w:color w:val="0D0D0D" w:themeColor="text1" w:themeTint="F2"/>
        </w:rPr>
        <w:t xml:space="preserve">and CANVAS, the </w:t>
      </w:r>
      <w:r w:rsidR="00642BE4" w:rsidRPr="003427A6">
        <w:rPr>
          <w:rFonts w:ascii="Candara" w:hAnsi="Candara"/>
          <w:color w:val="0D0D0D" w:themeColor="text1" w:themeTint="F2"/>
        </w:rPr>
        <w:t>Dapagliflozin Effect on CardiovasculAR Events (</w:t>
      </w:r>
      <w:bookmarkStart w:id="8" w:name="_Hlk535671315"/>
      <w:r w:rsidRPr="003427A6">
        <w:rPr>
          <w:rFonts w:ascii="Candara" w:hAnsi="Candara"/>
          <w:color w:val="0D0D0D" w:themeColor="text1" w:themeTint="F2"/>
        </w:rPr>
        <w:t>DECLARE-TIMI 58</w:t>
      </w:r>
      <w:bookmarkEnd w:id="8"/>
      <w:r w:rsidR="00642BE4" w:rsidRPr="003427A6">
        <w:rPr>
          <w:rFonts w:ascii="Candara" w:hAnsi="Candara"/>
          <w:color w:val="0D0D0D" w:themeColor="text1" w:themeTint="F2"/>
        </w:rPr>
        <w:t>)</w:t>
      </w:r>
      <w:r w:rsidRPr="003427A6">
        <w:rPr>
          <w:rFonts w:ascii="Candara" w:hAnsi="Candara"/>
          <w:color w:val="0D0D0D" w:themeColor="text1" w:themeTint="F2"/>
        </w:rPr>
        <w:t xml:space="preserve"> trial recruited </w:t>
      </w:r>
      <w:r w:rsidR="00D41D57" w:rsidRPr="003427A6">
        <w:rPr>
          <w:rFonts w:ascii="Candara" w:hAnsi="Candara"/>
          <w:color w:val="0D0D0D" w:themeColor="text1" w:themeTint="F2"/>
        </w:rPr>
        <w:t xml:space="preserve">17,160 T2DM </w:t>
      </w:r>
      <w:r w:rsidRPr="003427A6">
        <w:rPr>
          <w:rFonts w:ascii="Candara" w:hAnsi="Candara"/>
          <w:color w:val="0D0D0D" w:themeColor="text1" w:themeTint="F2"/>
        </w:rPr>
        <w:t>patients</w:t>
      </w:r>
      <w:r w:rsidR="00456CF5" w:rsidRPr="003427A6">
        <w:rPr>
          <w:rFonts w:ascii="Candara" w:hAnsi="Candara"/>
          <w:color w:val="0D0D0D" w:themeColor="text1" w:themeTint="F2"/>
        </w:rPr>
        <w:t xml:space="preserve"> (66% with cardiovascular disease)</w:t>
      </w:r>
      <w:r w:rsidRPr="003427A6">
        <w:rPr>
          <w:rFonts w:ascii="Candara" w:hAnsi="Candara"/>
          <w:color w:val="0D0D0D" w:themeColor="text1" w:themeTint="F2"/>
        </w:rPr>
        <w:t xml:space="preserve"> with eGFR &gt;60 ml/min/1.73 m</w:t>
      </w:r>
      <w:r w:rsidRPr="003427A6">
        <w:rPr>
          <w:rFonts w:ascii="Candara" w:hAnsi="Candara"/>
          <w:color w:val="0D0D0D" w:themeColor="text1" w:themeTint="F2"/>
          <w:vertAlign w:val="superscript"/>
        </w:rPr>
        <w:t>2</w:t>
      </w:r>
      <w:r w:rsidRPr="003427A6">
        <w:rPr>
          <w:rFonts w:ascii="Candara" w:hAnsi="Candara"/>
          <w:color w:val="0D0D0D" w:themeColor="text1" w:themeTint="F2"/>
        </w:rPr>
        <w:t xml:space="preserve">.  In the primary endpoint analyses, dapagliflozin 10 mg daily did not reduce </w:t>
      </w:r>
      <w:r w:rsidR="00D41D57" w:rsidRPr="003427A6">
        <w:rPr>
          <w:rFonts w:ascii="Candara" w:hAnsi="Candara"/>
          <w:color w:val="0D0D0D" w:themeColor="text1" w:themeTint="F2"/>
        </w:rPr>
        <w:t>major adverse cardiovascular events (</w:t>
      </w:r>
      <w:r w:rsidRPr="003427A6">
        <w:rPr>
          <w:rFonts w:ascii="Candara" w:hAnsi="Candara"/>
          <w:color w:val="0D0D0D" w:themeColor="text1" w:themeTint="F2"/>
        </w:rPr>
        <w:t>MACE</w:t>
      </w:r>
      <w:r w:rsidR="00D41D57" w:rsidRPr="003427A6">
        <w:rPr>
          <w:rFonts w:ascii="Candara" w:hAnsi="Candara"/>
          <w:color w:val="0D0D0D" w:themeColor="text1" w:themeTint="F2"/>
        </w:rPr>
        <w:t>)</w:t>
      </w:r>
      <w:r w:rsidRPr="003427A6">
        <w:rPr>
          <w:rFonts w:ascii="Candara" w:hAnsi="Candara"/>
          <w:color w:val="0D0D0D" w:themeColor="text1" w:themeTint="F2"/>
        </w:rPr>
        <w:t xml:space="preserve"> </w:t>
      </w:r>
      <w:r w:rsidR="00D41D57" w:rsidRPr="003427A6">
        <w:rPr>
          <w:rFonts w:ascii="Candara" w:hAnsi="Candara"/>
          <w:color w:val="0D0D0D" w:themeColor="text1" w:themeTint="F2"/>
        </w:rPr>
        <w:t>(</w:t>
      </w:r>
      <w:r w:rsidRPr="003427A6">
        <w:rPr>
          <w:rFonts w:ascii="Candara" w:hAnsi="Candara"/>
          <w:color w:val="0D0D0D" w:themeColor="text1" w:themeTint="F2"/>
        </w:rPr>
        <w:t>HR=0.93</w:t>
      </w:r>
      <w:r w:rsidR="00D41D57" w:rsidRPr="003427A6">
        <w:rPr>
          <w:rFonts w:ascii="Candara" w:hAnsi="Candara"/>
          <w:color w:val="0D0D0D" w:themeColor="text1" w:themeTint="F2"/>
        </w:rPr>
        <w:t>,</w:t>
      </w:r>
      <w:r w:rsidRPr="003427A6">
        <w:rPr>
          <w:rFonts w:ascii="Candara" w:hAnsi="Candara"/>
          <w:color w:val="0D0D0D" w:themeColor="text1" w:themeTint="F2"/>
        </w:rPr>
        <w:t xml:space="preserve"> 95% CI</w:t>
      </w:r>
      <w:r w:rsidR="00D41D57" w:rsidRPr="003427A6">
        <w:rPr>
          <w:rFonts w:ascii="Candara" w:hAnsi="Candara"/>
          <w:color w:val="0D0D0D" w:themeColor="text1" w:themeTint="F2"/>
        </w:rPr>
        <w:t xml:space="preserve"> = </w:t>
      </w:r>
      <w:r w:rsidRPr="003427A6">
        <w:rPr>
          <w:rFonts w:ascii="Candara" w:hAnsi="Candara"/>
          <w:color w:val="0D0D0D" w:themeColor="text1" w:themeTint="F2"/>
        </w:rPr>
        <w:t>0.84</w:t>
      </w:r>
      <w:r w:rsidR="00D41D57" w:rsidRPr="003427A6">
        <w:rPr>
          <w:rFonts w:ascii="Candara" w:hAnsi="Candara"/>
          <w:color w:val="0D0D0D" w:themeColor="text1" w:themeTint="F2"/>
        </w:rPr>
        <w:t>-</w:t>
      </w:r>
      <w:r w:rsidRPr="003427A6">
        <w:rPr>
          <w:rFonts w:ascii="Candara" w:hAnsi="Candara"/>
          <w:color w:val="0D0D0D" w:themeColor="text1" w:themeTint="F2"/>
        </w:rPr>
        <w:t>1.03</w:t>
      </w:r>
      <w:r w:rsidR="00D41D57" w:rsidRPr="003427A6">
        <w:rPr>
          <w:rFonts w:ascii="Candara" w:hAnsi="Candara"/>
          <w:color w:val="0D0D0D" w:themeColor="text1" w:themeTint="F2"/>
        </w:rPr>
        <w:t>,</w:t>
      </w:r>
      <w:r w:rsidRPr="003427A6">
        <w:rPr>
          <w:rFonts w:ascii="Candara" w:hAnsi="Candara"/>
          <w:color w:val="0D0D0D" w:themeColor="text1" w:themeTint="F2"/>
        </w:rPr>
        <w:t xml:space="preserve"> p=0.17</w:t>
      </w:r>
      <w:r w:rsidR="00D41D57" w:rsidRPr="003427A6">
        <w:rPr>
          <w:rFonts w:ascii="Candara" w:hAnsi="Candara"/>
          <w:color w:val="0D0D0D" w:themeColor="text1" w:themeTint="F2"/>
        </w:rPr>
        <w:t>)</w:t>
      </w:r>
      <w:r w:rsidRPr="003427A6">
        <w:rPr>
          <w:rFonts w:ascii="Candara" w:hAnsi="Candara"/>
          <w:color w:val="0D0D0D" w:themeColor="text1" w:themeTint="F2"/>
        </w:rPr>
        <w:t>, but did result in a lower rate</w:t>
      </w:r>
      <w:r w:rsidR="0036030E" w:rsidRPr="003427A6">
        <w:rPr>
          <w:rFonts w:ascii="Candara" w:hAnsi="Candara"/>
          <w:color w:val="0D0D0D" w:themeColor="text1" w:themeTint="F2"/>
        </w:rPr>
        <w:t xml:space="preserve"> </w:t>
      </w:r>
      <w:r w:rsidRPr="003427A6">
        <w:rPr>
          <w:rFonts w:ascii="Candara" w:hAnsi="Candara"/>
          <w:color w:val="0D0D0D" w:themeColor="text1" w:themeTint="F2"/>
        </w:rPr>
        <w:t xml:space="preserve">of </w:t>
      </w:r>
      <w:r w:rsidR="00D41D57" w:rsidRPr="003427A6">
        <w:rPr>
          <w:rFonts w:ascii="Candara" w:hAnsi="Candara"/>
          <w:color w:val="0D0D0D" w:themeColor="text1" w:themeTint="F2"/>
        </w:rPr>
        <w:t xml:space="preserve">HF hospitalization or </w:t>
      </w:r>
      <w:r w:rsidRPr="003427A6">
        <w:rPr>
          <w:rFonts w:ascii="Candara" w:hAnsi="Candara"/>
          <w:color w:val="0D0D0D" w:themeColor="text1" w:themeTint="F2"/>
        </w:rPr>
        <w:t xml:space="preserve">cardiovascular death </w:t>
      </w:r>
      <w:r w:rsidR="00D41D57" w:rsidRPr="003427A6">
        <w:rPr>
          <w:rFonts w:ascii="Candara" w:hAnsi="Candara"/>
          <w:color w:val="0D0D0D" w:themeColor="text1" w:themeTint="F2"/>
        </w:rPr>
        <w:t>(</w:t>
      </w:r>
      <w:r w:rsidRPr="003427A6">
        <w:rPr>
          <w:rFonts w:ascii="Candara" w:hAnsi="Candara"/>
          <w:color w:val="0D0D0D" w:themeColor="text1" w:themeTint="F2"/>
        </w:rPr>
        <w:t>HR=0.83</w:t>
      </w:r>
      <w:r w:rsidR="00D41D57" w:rsidRPr="003427A6">
        <w:rPr>
          <w:rFonts w:ascii="Candara" w:hAnsi="Candara"/>
          <w:color w:val="0D0D0D" w:themeColor="text1" w:themeTint="F2"/>
        </w:rPr>
        <w:t>,</w:t>
      </w:r>
      <w:r w:rsidRPr="003427A6">
        <w:rPr>
          <w:rFonts w:ascii="Candara" w:hAnsi="Candara"/>
          <w:color w:val="0D0D0D" w:themeColor="text1" w:themeTint="F2"/>
        </w:rPr>
        <w:t xml:space="preserve"> 95% CI</w:t>
      </w:r>
      <w:r w:rsidR="00D41D57" w:rsidRPr="003427A6">
        <w:rPr>
          <w:rFonts w:ascii="Candara" w:hAnsi="Candara"/>
          <w:color w:val="0D0D0D" w:themeColor="text1" w:themeTint="F2"/>
        </w:rPr>
        <w:t xml:space="preserve"> =</w:t>
      </w:r>
      <w:r w:rsidRPr="003427A6">
        <w:rPr>
          <w:rFonts w:ascii="Candara" w:hAnsi="Candara"/>
          <w:color w:val="0D0D0D" w:themeColor="text1" w:themeTint="F2"/>
        </w:rPr>
        <w:t xml:space="preserve"> 0.73</w:t>
      </w:r>
      <w:r w:rsidR="00D41D57" w:rsidRPr="003427A6">
        <w:rPr>
          <w:rFonts w:ascii="Candara" w:hAnsi="Candara"/>
          <w:color w:val="0D0D0D" w:themeColor="text1" w:themeTint="F2"/>
        </w:rPr>
        <w:t>-</w:t>
      </w:r>
      <w:r w:rsidRPr="003427A6">
        <w:rPr>
          <w:rFonts w:ascii="Candara" w:hAnsi="Candara"/>
          <w:color w:val="0D0D0D" w:themeColor="text1" w:themeTint="F2"/>
        </w:rPr>
        <w:t>0.95</w:t>
      </w:r>
      <w:r w:rsidR="00D41D57" w:rsidRPr="003427A6">
        <w:rPr>
          <w:rFonts w:ascii="Candara" w:hAnsi="Candara"/>
          <w:color w:val="0D0D0D" w:themeColor="text1" w:themeTint="F2"/>
        </w:rPr>
        <w:t>,</w:t>
      </w:r>
      <w:r w:rsidRPr="003427A6">
        <w:rPr>
          <w:rFonts w:ascii="Candara" w:hAnsi="Candara"/>
          <w:color w:val="0D0D0D" w:themeColor="text1" w:themeTint="F2"/>
        </w:rPr>
        <w:t xml:space="preserve"> p=0.005</w:t>
      </w:r>
      <w:r w:rsidR="00D41D57" w:rsidRPr="003427A6">
        <w:rPr>
          <w:rFonts w:ascii="Candara" w:hAnsi="Candara"/>
          <w:color w:val="0D0D0D" w:themeColor="text1" w:themeTint="F2"/>
        </w:rPr>
        <w:t>)</w:t>
      </w:r>
      <w:r w:rsidR="0036030E" w:rsidRPr="003427A6">
        <w:rPr>
          <w:rFonts w:ascii="Candara" w:hAnsi="Candara"/>
          <w:color w:val="0D0D0D" w:themeColor="text1" w:themeTint="F2"/>
        </w:rPr>
        <w:t>.</w:t>
      </w:r>
      <w:r w:rsidR="002C67E6" w:rsidRPr="003427A6">
        <w:rPr>
          <w:rStyle w:val="af8"/>
          <w:rFonts w:ascii="Candara" w:hAnsi="Candara"/>
          <w:color w:val="0D0D0D" w:themeColor="text1" w:themeTint="F2"/>
        </w:rPr>
        <w:endnoteReference w:id="31"/>
      </w:r>
      <w:r w:rsidR="0036030E" w:rsidRPr="003427A6">
        <w:rPr>
          <w:rFonts w:ascii="Candara" w:hAnsi="Candara"/>
          <w:color w:val="0D0D0D" w:themeColor="text1" w:themeTint="F2"/>
        </w:rPr>
        <w:t xml:space="preserve">  The renal composite endpoint </w:t>
      </w:r>
      <w:r w:rsidR="00D41D57" w:rsidRPr="003427A6">
        <w:rPr>
          <w:rFonts w:ascii="Candara" w:hAnsi="Candara"/>
          <w:color w:val="0D0D0D" w:themeColor="text1" w:themeTint="F2"/>
        </w:rPr>
        <w:t>of sustained 40% eGFR reduction to &lt;60 ml/min/1.73 m</w:t>
      </w:r>
      <w:r w:rsidR="00D41D57" w:rsidRPr="003427A6">
        <w:rPr>
          <w:rFonts w:ascii="Candara" w:hAnsi="Candara"/>
          <w:color w:val="0D0D0D" w:themeColor="text1" w:themeTint="F2"/>
          <w:vertAlign w:val="superscript"/>
        </w:rPr>
        <w:t>2</w:t>
      </w:r>
      <w:r w:rsidR="00D41D57" w:rsidRPr="003427A6">
        <w:rPr>
          <w:rFonts w:ascii="Candara" w:hAnsi="Candara"/>
          <w:color w:val="0D0D0D" w:themeColor="text1" w:themeTint="F2"/>
        </w:rPr>
        <w:t xml:space="preserve">, end stage renal disease, or death from renal causes </w:t>
      </w:r>
      <w:r w:rsidR="0036030E" w:rsidRPr="003427A6">
        <w:rPr>
          <w:rFonts w:ascii="Candara" w:hAnsi="Candara"/>
          <w:color w:val="0D0D0D" w:themeColor="text1" w:themeTint="F2"/>
        </w:rPr>
        <w:t xml:space="preserve">was reduced with dapagliflozin </w:t>
      </w:r>
      <w:r w:rsidR="00D41D57" w:rsidRPr="003427A6">
        <w:rPr>
          <w:rFonts w:ascii="Candara" w:hAnsi="Candara"/>
          <w:color w:val="0D0D0D" w:themeColor="text1" w:themeTint="F2"/>
        </w:rPr>
        <w:t>(</w:t>
      </w:r>
      <w:r w:rsidR="0036030E" w:rsidRPr="003427A6">
        <w:rPr>
          <w:rFonts w:ascii="Candara" w:hAnsi="Candara"/>
          <w:color w:val="0D0D0D" w:themeColor="text1" w:themeTint="F2"/>
        </w:rPr>
        <w:t>HR=</w:t>
      </w:r>
      <w:r w:rsidRPr="003427A6">
        <w:rPr>
          <w:rFonts w:ascii="Candara" w:hAnsi="Candara"/>
          <w:color w:val="0D0D0D" w:themeColor="text1" w:themeTint="F2"/>
        </w:rPr>
        <w:t>0.76</w:t>
      </w:r>
      <w:r w:rsidR="00D41D57" w:rsidRPr="003427A6">
        <w:rPr>
          <w:rFonts w:ascii="Candara" w:hAnsi="Candara"/>
          <w:color w:val="0D0D0D" w:themeColor="text1" w:themeTint="F2"/>
        </w:rPr>
        <w:t xml:space="preserve">, </w:t>
      </w:r>
      <w:r w:rsidRPr="003427A6">
        <w:rPr>
          <w:rFonts w:ascii="Candara" w:hAnsi="Candara"/>
          <w:color w:val="0D0D0D" w:themeColor="text1" w:themeTint="F2"/>
        </w:rPr>
        <w:t>95% CI</w:t>
      </w:r>
      <w:r w:rsidR="00D41D57" w:rsidRPr="003427A6">
        <w:rPr>
          <w:rFonts w:ascii="Candara" w:hAnsi="Candara"/>
          <w:color w:val="0D0D0D" w:themeColor="text1" w:themeTint="F2"/>
        </w:rPr>
        <w:t xml:space="preserve"> = </w:t>
      </w:r>
      <w:r w:rsidRPr="003427A6">
        <w:rPr>
          <w:rFonts w:ascii="Candara" w:hAnsi="Candara"/>
          <w:color w:val="0D0D0D" w:themeColor="text1" w:themeTint="F2"/>
        </w:rPr>
        <w:t>0.67</w:t>
      </w:r>
      <w:r w:rsidR="00D41D57" w:rsidRPr="003427A6">
        <w:rPr>
          <w:rFonts w:ascii="Candara" w:hAnsi="Candara"/>
          <w:color w:val="0D0D0D" w:themeColor="text1" w:themeTint="F2"/>
        </w:rPr>
        <w:t>-</w:t>
      </w:r>
      <w:r w:rsidRPr="003427A6">
        <w:rPr>
          <w:rFonts w:ascii="Candara" w:hAnsi="Candara"/>
          <w:color w:val="0D0D0D" w:themeColor="text1" w:themeTint="F2"/>
        </w:rPr>
        <w:t>0.87</w:t>
      </w:r>
      <w:r w:rsidR="00D41D57" w:rsidRPr="003427A6">
        <w:rPr>
          <w:rFonts w:ascii="Candara" w:hAnsi="Candara"/>
          <w:color w:val="0D0D0D" w:themeColor="text1" w:themeTint="F2"/>
        </w:rPr>
        <w:t>)</w:t>
      </w:r>
      <w:r w:rsidR="0036030E" w:rsidRPr="003427A6">
        <w:rPr>
          <w:rFonts w:ascii="Candara" w:hAnsi="Candara"/>
          <w:color w:val="0D0D0D" w:themeColor="text1" w:themeTint="F2"/>
        </w:rPr>
        <w:t xml:space="preserve">.  </w:t>
      </w:r>
      <w:r w:rsidR="009324B8" w:rsidRPr="003427A6">
        <w:rPr>
          <w:rFonts w:ascii="Candara" w:hAnsi="Candara"/>
          <w:color w:val="0D0D0D" w:themeColor="text1" w:themeTint="F2"/>
        </w:rPr>
        <w:t>DKA</w:t>
      </w:r>
      <w:r w:rsidRPr="003427A6">
        <w:rPr>
          <w:rFonts w:ascii="Candara" w:hAnsi="Candara"/>
          <w:color w:val="0D0D0D" w:themeColor="text1" w:themeTint="F2"/>
        </w:rPr>
        <w:t xml:space="preserve"> was more common with dapagliflozin than with placebo (0.3%</w:t>
      </w:r>
      <w:r w:rsidR="00C806BF" w:rsidRPr="003427A6">
        <w:rPr>
          <w:rFonts w:ascii="Candara" w:hAnsi="Candara"/>
          <w:color w:val="0D0D0D" w:themeColor="text1" w:themeTint="F2"/>
        </w:rPr>
        <w:t xml:space="preserve"> </w:t>
      </w:r>
      <w:r w:rsidRPr="003427A6">
        <w:rPr>
          <w:rFonts w:ascii="Candara" w:hAnsi="Candara"/>
          <w:color w:val="0D0D0D" w:themeColor="text1" w:themeTint="F2"/>
        </w:rPr>
        <w:t xml:space="preserve">vs. 0.1%, </w:t>
      </w:r>
      <w:r w:rsidR="009324B8" w:rsidRPr="003427A6">
        <w:rPr>
          <w:rFonts w:ascii="Candara" w:hAnsi="Candara"/>
          <w:color w:val="0D0D0D" w:themeColor="text1" w:themeTint="F2"/>
        </w:rPr>
        <w:t>p</w:t>
      </w:r>
      <w:r w:rsidRPr="003427A6">
        <w:rPr>
          <w:rFonts w:ascii="Candara" w:hAnsi="Candara"/>
          <w:color w:val="0D0D0D" w:themeColor="text1" w:themeTint="F2"/>
        </w:rPr>
        <w:t>=0.02)</w:t>
      </w:r>
      <w:r w:rsidR="006F7841" w:rsidRPr="003427A6">
        <w:rPr>
          <w:rFonts w:ascii="Candara" w:hAnsi="Candara"/>
          <w:color w:val="0D0D0D" w:themeColor="text1" w:themeTint="F2"/>
        </w:rPr>
        <w:t xml:space="preserve"> and t</w:t>
      </w:r>
      <w:r w:rsidR="001B1F35" w:rsidRPr="003427A6">
        <w:rPr>
          <w:rFonts w:ascii="Candara" w:hAnsi="Candara"/>
          <w:color w:val="0D0D0D" w:themeColor="text1" w:themeTint="F2"/>
        </w:rPr>
        <w:t>here were similar rates of amputation for dapagliflozin vs. placebo (1.4% vs. 1.3%, HR=1.09, 95% CI = 0.84-1.4, p=0.53).</w:t>
      </w:r>
      <w:r w:rsidR="0036030E" w:rsidRPr="003427A6">
        <w:rPr>
          <w:rFonts w:ascii="Candara" w:hAnsi="Candara"/>
          <w:color w:val="0D0D0D" w:themeColor="text1" w:themeTint="F2"/>
        </w:rPr>
        <w:t xml:space="preserve"> </w:t>
      </w:r>
      <w:r w:rsidR="009324B8" w:rsidRPr="003427A6">
        <w:rPr>
          <w:rFonts w:ascii="Candara" w:hAnsi="Candara"/>
          <w:color w:val="0D0D0D" w:themeColor="text1" w:themeTint="F2"/>
        </w:rPr>
        <w:t>As in</w:t>
      </w:r>
      <w:r w:rsidR="0036030E" w:rsidRPr="003427A6">
        <w:rPr>
          <w:rFonts w:ascii="Candara" w:hAnsi="Candara"/>
          <w:color w:val="0D0D0D" w:themeColor="text1" w:themeTint="F2"/>
        </w:rPr>
        <w:t xml:space="preserve"> the EMPA-REG</w:t>
      </w:r>
      <w:r w:rsidR="009324B8" w:rsidRPr="003427A6">
        <w:rPr>
          <w:rFonts w:ascii="Candara" w:hAnsi="Candara"/>
          <w:color w:val="0D0D0D" w:themeColor="text1" w:themeTint="F2"/>
        </w:rPr>
        <w:t xml:space="preserve"> OUTCOME</w:t>
      </w:r>
      <w:r w:rsidR="0036030E" w:rsidRPr="003427A6">
        <w:rPr>
          <w:rFonts w:ascii="Candara" w:hAnsi="Candara"/>
          <w:color w:val="0D0D0D" w:themeColor="text1" w:themeTint="F2"/>
        </w:rPr>
        <w:t xml:space="preserve"> and CANVAS </w:t>
      </w:r>
      <w:r w:rsidR="009324B8" w:rsidRPr="003427A6">
        <w:rPr>
          <w:rFonts w:ascii="Candara" w:hAnsi="Candara"/>
          <w:color w:val="0D0D0D" w:themeColor="text1" w:themeTint="F2"/>
        </w:rPr>
        <w:t>trials</w:t>
      </w:r>
      <w:r w:rsidR="0036030E" w:rsidRPr="003427A6">
        <w:rPr>
          <w:rFonts w:ascii="Candara" w:hAnsi="Candara"/>
          <w:color w:val="0D0D0D" w:themeColor="text1" w:themeTint="F2"/>
        </w:rPr>
        <w:t>, the cardiorenal benefit was somewhat out of proportion to changes in glycemic control, blood pressure, and body weight.</w:t>
      </w:r>
    </w:p>
    <w:p w14:paraId="58252E20" w14:textId="20498AD5" w:rsidR="009C5F88" w:rsidRPr="003427A6" w:rsidRDefault="009C5F88" w:rsidP="00EA0C65">
      <w:pPr>
        <w:spacing w:line="360" w:lineRule="auto"/>
        <w:rPr>
          <w:rFonts w:ascii="Candara" w:hAnsi="Candara"/>
          <w:color w:val="0D0D0D" w:themeColor="text1" w:themeTint="F2"/>
        </w:rPr>
      </w:pPr>
    </w:p>
    <w:p w14:paraId="163A1193" w14:textId="18B6D506" w:rsidR="009C5F88" w:rsidRPr="003427A6" w:rsidRDefault="001F4B82" w:rsidP="009C5F88">
      <w:pPr>
        <w:spacing w:line="360" w:lineRule="auto"/>
        <w:rPr>
          <w:rFonts w:ascii="Candara" w:hAnsi="Candara"/>
          <w:b/>
          <w:iCs/>
          <w:color w:val="000000" w:themeColor="text1"/>
        </w:rPr>
      </w:pPr>
      <w:r w:rsidRPr="003427A6">
        <w:rPr>
          <w:rFonts w:ascii="Candara" w:hAnsi="Candara"/>
          <w:b/>
          <w:iCs/>
          <w:color w:val="000000" w:themeColor="text1"/>
        </w:rPr>
        <w:lastRenderedPageBreak/>
        <w:t xml:space="preserve">The </w:t>
      </w:r>
      <w:r w:rsidRPr="003427A6">
        <w:rPr>
          <w:rFonts w:ascii="Candara" w:hAnsi="Candara"/>
          <w:b/>
          <w:i/>
          <w:iCs/>
          <w:color w:val="000000" w:themeColor="text1"/>
        </w:rPr>
        <w:t>CVD-</w:t>
      </w:r>
      <w:r w:rsidR="009C5F88" w:rsidRPr="003427A6">
        <w:rPr>
          <w:rFonts w:ascii="Candara" w:hAnsi="Candara"/>
          <w:b/>
          <w:i/>
          <w:iCs/>
          <w:color w:val="000000" w:themeColor="text1"/>
        </w:rPr>
        <w:t>REAL</w:t>
      </w:r>
      <w:r w:rsidR="00AC107B" w:rsidRPr="003427A6">
        <w:rPr>
          <w:rFonts w:ascii="Candara" w:hAnsi="Candara"/>
          <w:b/>
          <w:iCs/>
          <w:color w:val="000000" w:themeColor="text1"/>
        </w:rPr>
        <w:t xml:space="preserve"> and </w:t>
      </w:r>
      <w:r w:rsidR="00AC107B" w:rsidRPr="003427A6">
        <w:rPr>
          <w:rFonts w:ascii="Candara" w:hAnsi="Candara"/>
          <w:b/>
          <w:i/>
          <w:iCs/>
          <w:color w:val="000000" w:themeColor="text1"/>
        </w:rPr>
        <w:t>CVD-REAL 2</w:t>
      </w:r>
      <w:r w:rsidR="009C5F88" w:rsidRPr="003427A6">
        <w:rPr>
          <w:rFonts w:ascii="Candara" w:hAnsi="Candara"/>
          <w:b/>
          <w:iCs/>
          <w:color w:val="000000" w:themeColor="text1"/>
        </w:rPr>
        <w:t xml:space="preserve"> </w:t>
      </w:r>
      <w:r w:rsidR="00C5008F" w:rsidRPr="003427A6">
        <w:rPr>
          <w:rFonts w:ascii="Candara" w:hAnsi="Candara"/>
          <w:b/>
          <w:iCs/>
          <w:color w:val="000000" w:themeColor="text1"/>
        </w:rPr>
        <w:t>Studies</w:t>
      </w:r>
      <w:r w:rsidR="009C5F88" w:rsidRPr="003427A6">
        <w:rPr>
          <w:rFonts w:ascii="Candara" w:hAnsi="Candara"/>
          <w:b/>
          <w:iCs/>
          <w:color w:val="000000" w:themeColor="text1"/>
        </w:rPr>
        <w:t xml:space="preserve"> </w:t>
      </w:r>
    </w:p>
    <w:p w14:paraId="3916F5B6" w14:textId="77777777" w:rsidR="00C5008F" w:rsidRPr="003427A6" w:rsidRDefault="00C5008F" w:rsidP="009C5F88">
      <w:pPr>
        <w:spacing w:line="360" w:lineRule="auto"/>
        <w:rPr>
          <w:rFonts w:ascii="Candara" w:hAnsi="Candara"/>
          <w:b/>
          <w:iCs/>
          <w:color w:val="000000" w:themeColor="text1"/>
        </w:rPr>
      </w:pPr>
    </w:p>
    <w:p w14:paraId="4CC0EF86" w14:textId="0E8E0525" w:rsidR="009C5F88" w:rsidRPr="003427A6" w:rsidRDefault="009C5F88" w:rsidP="009C5F88">
      <w:pPr>
        <w:spacing w:line="360" w:lineRule="auto"/>
        <w:ind w:firstLine="720"/>
        <w:rPr>
          <w:rFonts w:ascii="Candara" w:hAnsi="Candara"/>
          <w:color w:val="000000" w:themeColor="text1"/>
        </w:rPr>
      </w:pPr>
      <w:r w:rsidRPr="003427A6">
        <w:rPr>
          <w:rFonts w:ascii="Candara" w:hAnsi="Candara"/>
          <w:color w:val="000000" w:themeColor="text1"/>
        </w:rPr>
        <w:t xml:space="preserve">EMPA-REG OUTCOME, CANVAS, and DECLARE-TIMI 58 provided evidence of the efficacy and safety of currently approved SGLT2i in the randomized controlled trial setting.  However, each trial had </w:t>
      </w:r>
      <w:r w:rsidR="006F7841" w:rsidRPr="003427A6">
        <w:rPr>
          <w:rFonts w:ascii="Candara" w:hAnsi="Candara"/>
          <w:color w:val="000000" w:themeColor="text1"/>
        </w:rPr>
        <w:t>stringent</w:t>
      </w:r>
      <w:r w:rsidRPr="003427A6">
        <w:rPr>
          <w:rFonts w:ascii="Candara" w:hAnsi="Candara"/>
          <w:color w:val="000000" w:themeColor="text1"/>
        </w:rPr>
        <w:t xml:space="preserve"> inclusion and exclusion criteria, affecting</w:t>
      </w:r>
      <w:r w:rsidR="006F7841" w:rsidRPr="003427A6">
        <w:rPr>
          <w:rFonts w:ascii="Candara" w:hAnsi="Candara"/>
          <w:color w:val="000000" w:themeColor="text1"/>
        </w:rPr>
        <w:t xml:space="preserve"> the</w:t>
      </w:r>
      <w:r w:rsidRPr="003427A6">
        <w:rPr>
          <w:rFonts w:ascii="Candara" w:hAnsi="Candara"/>
          <w:color w:val="000000" w:themeColor="text1"/>
        </w:rPr>
        <w:t xml:space="preserve"> “real-world” applicability of these drugs</w:t>
      </w:r>
      <w:r w:rsidR="001C2D13" w:rsidRPr="003427A6">
        <w:rPr>
          <w:rFonts w:ascii="Candara" w:hAnsi="Candara"/>
          <w:color w:val="000000" w:themeColor="text1"/>
        </w:rPr>
        <w:t>.</w:t>
      </w:r>
      <w:r w:rsidRPr="003427A6">
        <w:rPr>
          <w:rStyle w:val="af8"/>
          <w:rFonts w:ascii="Candara" w:hAnsi="Candara"/>
          <w:color w:val="000000" w:themeColor="text1"/>
        </w:rPr>
        <w:endnoteReference w:id="32"/>
      </w:r>
      <w:r w:rsidRPr="003427A6">
        <w:rPr>
          <w:rFonts w:ascii="Candara" w:hAnsi="Candara"/>
          <w:color w:val="000000" w:themeColor="text1"/>
        </w:rPr>
        <w:t xml:space="preserve"> </w:t>
      </w:r>
      <w:bookmarkStart w:id="9" w:name="_Hlk2489218"/>
      <w:r w:rsidRPr="003427A6">
        <w:rPr>
          <w:rFonts w:ascii="Candara" w:hAnsi="Candara"/>
          <w:color w:val="000000" w:themeColor="text1"/>
        </w:rPr>
        <w:t>Therefore</w:t>
      </w:r>
      <w:r w:rsidR="001C2D13" w:rsidRPr="003427A6">
        <w:rPr>
          <w:rFonts w:ascii="Candara" w:hAnsi="Candara"/>
          <w:color w:val="000000" w:themeColor="text1"/>
        </w:rPr>
        <w:t>,</w:t>
      </w:r>
      <w:r w:rsidR="006F7FB5" w:rsidRPr="003427A6">
        <w:rPr>
          <w:rFonts w:ascii="Candara" w:hAnsi="Candara"/>
          <w:color w:val="000000" w:themeColor="text1"/>
        </w:rPr>
        <w:t xml:space="preserve"> in support of these trials,</w:t>
      </w:r>
      <w:r w:rsidR="001C2D13" w:rsidRPr="003427A6">
        <w:rPr>
          <w:rFonts w:ascii="Candara" w:hAnsi="Candara"/>
          <w:color w:val="000000" w:themeColor="text1"/>
        </w:rPr>
        <w:t xml:space="preserve"> the </w:t>
      </w:r>
      <w:bookmarkEnd w:id="9"/>
      <w:r w:rsidR="001C2D13" w:rsidRPr="003427A6">
        <w:rPr>
          <w:rFonts w:ascii="Candara" w:hAnsi="Candara"/>
          <w:color w:val="000000" w:themeColor="text1"/>
        </w:rPr>
        <w:t>investigators in the Comparative Effectiveness of Cardiovascular Outcomes in New Users of Sodium-Glucose Cotransporter-2 Inhibitors (CVD-</w:t>
      </w:r>
      <w:r w:rsidRPr="003427A6">
        <w:rPr>
          <w:rFonts w:ascii="Candara" w:hAnsi="Candara"/>
          <w:color w:val="000000" w:themeColor="text1"/>
        </w:rPr>
        <w:t>REAL</w:t>
      </w:r>
      <w:r w:rsidR="001C2D13" w:rsidRPr="003427A6">
        <w:rPr>
          <w:rFonts w:ascii="Candara" w:hAnsi="Candara"/>
          <w:color w:val="000000" w:themeColor="text1"/>
        </w:rPr>
        <w:t xml:space="preserve">) </w:t>
      </w:r>
      <w:r w:rsidR="00C5008F" w:rsidRPr="003427A6">
        <w:rPr>
          <w:rFonts w:ascii="Candara" w:hAnsi="Candara"/>
          <w:color w:val="000000" w:themeColor="text1"/>
        </w:rPr>
        <w:t xml:space="preserve">study </w:t>
      </w:r>
      <w:r w:rsidRPr="003427A6">
        <w:rPr>
          <w:rFonts w:ascii="Candara" w:hAnsi="Candara"/>
          <w:color w:val="000000" w:themeColor="text1"/>
        </w:rPr>
        <w:t>sought to evalu</w:t>
      </w:r>
      <w:r w:rsidR="001C2D13" w:rsidRPr="003427A6">
        <w:rPr>
          <w:rFonts w:ascii="Candara" w:hAnsi="Candara"/>
          <w:color w:val="000000" w:themeColor="text1"/>
        </w:rPr>
        <w:t xml:space="preserve">ate the </w:t>
      </w:r>
      <w:r w:rsidR="006F7841" w:rsidRPr="003427A6">
        <w:rPr>
          <w:rFonts w:ascii="Candara" w:hAnsi="Candara"/>
          <w:color w:val="000000" w:themeColor="text1"/>
        </w:rPr>
        <w:t>efficacy</w:t>
      </w:r>
      <w:r w:rsidR="001C2D13" w:rsidRPr="003427A6">
        <w:rPr>
          <w:rFonts w:ascii="Candara" w:hAnsi="Candara"/>
          <w:color w:val="000000" w:themeColor="text1"/>
        </w:rPr>
        <w:t xml:space="preserve"> </w:t>
      </w:r>
      <w:r w:rsidR="00D057D6" w:rsidRPr="003427A6">
        <w:rPr>
          <w:rFonts w:ascii="Candara" w:hAnsi="Candara"/>
          <w:color w:val="000000" w:themeColor="text1"/>
        </w:rPr>
        <w:t xml:space="preserve">but not safety </w:t>
      </w:r>
      <w:r w:rsidR="001C2D13" w:rsidRPr="003427A6">
        <w:rPr>
          <w:rFonts w:ascii="Candara" w:hAnsi="Candara"/>
          <w:color w:val="000000" w:themeColor="text1"/>
        </w:rPr>
        <w:t>of SGLT2i</w:t>
      </w:r>
      <w:r w:rsidRPr="003427A6">
        <w:rPr>
          <w:rFonts w:ascii="Candara" w:hAnsi="Candara"/>
          <w:color w:val="000000" w:themeColor="text1"/>
        </w:rPr>
        <w:t xml:space="preserve"> in reducing cardiovascular death and </w:t>
      </w:r>
      <w:r w:rsidR="001C2D13" w:rsidRPr="003427A6">
        <w:rPr>
          <w:rFonts w:ascii="Candara" w:hAnsi="Candara"/>
          <w:color w:val="000000" w:themeColor="text1"/>
        </w:rPr>
        <w:t>HF hospitalization</w:t>
      </w:r>
      <w:r w:rsidRPr="003427A6">
        <w:rPr>
          <w:rFonts w:ascii="Candara" w:hAnsi="Candara"/>
          <w:color w:val="000000" w:themeColor="text1"/>
        </w:rPr>
        <w:t xml:space="preserve"> in patients with T2DM in a large, multination, observational study.  Patients on SGLT2i were compared to patients on other glucose-lowering drugs.  Data from 309,056 patients were </w:t>
      </w:r>
      <w:r w:rsidR="006F7841" w:rsidRPr="003427A6">
        <w:rPr>
          <w:rFonts w:ascii="Candara" w:hAnsi="Candara"/>
          <w:color w:val="000000" w:themeColor="text1"/>
        </w:rPr>
        <w:t>collected</w:t>
      </w:r>
      <w:r w:rsidRPr="003427A6">
        <w:rPr>
          <w:rFonts w:ascii="Candara" w:hAnsi="Candara"/>
          <w:color w:val="000000" w:themeColor="text1"/>
        </w:rPr>
        <w:t xml:space="preserve"> from the US, Norway, Denmark, Sweden, Germany and the UK.  </w:t>
      </w:r>
      <w:r w:rsidR="006F7841" w:rsidRPr="003427A6">
        <w:rPr>
          <w:rFonts w:ascii="Candara" w:hAnsi="Candara"/>
          <w:color w:val="000000" w:themeColor="text1"/>
        </w:rPr>
        <w:t>Thirteen percent</w:t>
      </w:r>
      <w:r w:rsidRPr="003427A6">
        <w:rPr>
          <w:rFonts w:ascii="Candara" w:hAnsi="Candara"/>
          <w:color w:val="000000" w:themeColor="text1"/>
        </w:rPr>
        <w:t xml:space="preserve"> of patients had established ASCVD.  There was an</w:t>
      </w:r>
      <w:r w:rsidR="001C2D13" w:rsidRPr="003427A6">
        <w:rPr>
          <w:rFonts w:ascii="Candara" w:hAnsi="Candara"/>
          <w:color w:val="000000" w:themeColor="text1"/>
        </w:rPr>
        <w:t xml:space="preserve"> overall lower risk of HF hospitalization (HR=0.61,</w:t>
      </w:r>
      <w:r w:rsidRPr="003427A6">
        <w:rPr>
          <w:rFonts w:ascii="Candara" w:hAnsi="Candara"/>
          <w:color w:val="000000" w:themeColor="text1"/>
        </w:rPr>
        <w:t xml:space="preserve"> 95% </w:t>
      </w:r>
      <w:r w:rsidR="001C2D13" w:rsidRPr="003427A6">
        <w:rPr>
          <w:rFonts w:ascii="Candara" w:hAnsi="Candara"/>
          <w:color w:val="000000" w:themeColor="text1"/>
        </w:rPr>
        <w:t>CI =</w:t>
      </w:r>
      <w:r w:rsidRPr="003427A6">
        <w:rPr>
          <w:rFonts w:ascii="Candara" w:hAnsi="Candara"/>
          <w:color w:val="000000" w:themeColor="text1"/>
        </w:rPr>
        <w:t xml:space="preserve"> 0.51-0.73</w:t>
      </w:r>
      <w:r w:rsidR="001C2D13" w:rsidRPr="003427A6">
        <w:rPr>
          <w:rFonts w:ascii="Candara" w:hAnsi="Candara"/>
          <w:color w:val="000000" w:themeColor="text1"/>
        </w:rPr>
        <w:t>,</w:t>
      </w:r>
      <w:r w:rsidRPr="003427A6">
        <w:rPr>
          <w:rFonts w:ascii="Candara" w:hAnsi="Candara"/>
          <w:color w:val="000000" w:themeColor="text1"/>
        </w:rPr>
        <w:t xml:space="preserve"> p&lt;0.001); death (HR</w:t>
      </w:r>
      <w:r w:rsidR="001C2D13" w:rsidRPr="003427A6">
        <w:rPr>
          <w:rFonts w:ascii="Candara" w:hAnsi="Candara"/>
          <w:color w:val="000000" w:themeColor="text1"/>
        </w:rPr>
        <w:t xml:space="preserve">=0.49, </w:t>
      </w:r>
      <w:r w:rsidRPr="003427A6">
        <w:rPr>
          <w:rFonts w:ascii="Candara" w:hAnsi="Candara"/>
          <w:color w:val="000000" w:themeColor="text1"/>
        </w:rPr>
        <w:t xml:space="preserve">95% </w:t>
      </w:r>
      <w:r w:rsidR="001C2D13" w:rsidRPr="003427A6">
        <w:rPr>
          <w:rFonts w:ascii="Candara" w:hAnsi="Candara"/>
          <w:color w:val="000000" w:themeColor="text1"/>
        </w:rPr>
        <w:t>CI = 0.41-0.57,</w:t>
      </w:r>
      <w:r w:rsidRPr="003427A6">
        <w:rPr>
          <w:rFonts w:ascii="Candara" w:hAnsi="Candara"/>
          <w:color w:val="000000" w:themeColor="text1"/>
        </w:rPr>
        <w:t xml:space="preserve"> p&lt; 0.001); and composite </w:t>
      </w:r>
      <w:r w:rsidR="001C2D13" w:rsidRPr="003427A6">
        <w:rPr>
          <w:rFonts w:ascii="Candara" w:hAnsi="Candara"/>
          <w:color w:val="000000" w:themeColor="text1"/>
        </w:rPr>
        <w:t>HF hospitalization</w:t>
      </w:r>
      <w:r w:rsidRPr="003427A6">
        <w:rPr>
          <w:rFonts w:ascii="Candara" w:hAnsi="Candara"/>
          <w:color w:val="000000" w:themeColor="text1"/>
        </w:rPr>
        <w:t xml:space="preserve"> or death (HR</w:t>
      </w:r>
      <w:r w:rsidR="001C2D13" w:rsidRPr="003427A6">
        <w:rPr>
          <w:rFonts w:ascii="Candara" w:hAnsi="Candara"/>
          <w:color w:val="000000" w:themeColor="text1"/>
        </w:rPr>
        <w:t>=</w:t>
      </w:r>
      <w:r w:rsidRPr="003427A6">
        <w:rPr>
          <w:rFonts w:ascii="Candara" w:hAnsi="Candara"/>
          <w:color w:val="000000" w:themeColor="text1"/>
        </w:rPr>
        <w:t>0.54</w:t>
      </w:r>
      <w:r w:rsidR="001C2D13" w:rsidRPr="003427A6">
        <w:rPr>
          <w:rFonts w:ascii="Candara" w:hAnsi="Candara"/>
          <w:color w:val="000000" w:themeColor="text1"/>
        </w:rPr>
        <w:t>,</w:t>
      </w:r>
      <w:r w:rsidRPr="003427A6">
        <w:rPr>
          <w:rFonts w:ascii="Candara" w:hAnsi="Candara"/>
          <w:color w:val="000000" w:themeColor="text1"/>
        </w:rPr>
        <w:t xml:space="preserve"> 95% </w:t>
      </w:r>
      <w:r w:rsidR="001C2D13" w:rsidRPr="003427A6">
        <w:rPr>
          <w:rFonts w:ascii="Candara" w:hAnsi="Candara"/>
          <w:color w:val="000000" w:themeColor="text1"/>
        </w:rPr>
        <w:t>CI =</w:t>
      </w:r>
      <w:r w:rsidRPr="003427A6">
        <w:rPr>
          <w:rFonts w:ascii="Candara" w:hAnsi="Candara"/>
          <w:color w:val="000000" w:themeColor="text1"/>
        </w:rPr>
        <w:t xml:space="preserve"> 0.48-0.60</w:t>
      </w:r>
      <w:r w:rsidR="001C2D13" w:rsidRPr="003427A6">
        <w:rPr>
          <w:rFonts w:ascii="Candara" w:hAnsi="Candara"/>
          <w:color w:val="000000" w:themeColor="text1"/>
        </w:rPr>
        <w:t>,</w:t>
      </w:r>
      <w:r w:rsidRPr="003427A6">
        <w:rPr>
          <w:rFonts w:ascii="Candara" w:hAnsi="Candara"/>
          <w:color w:val="000000" w:themeColor="text1"/>
        </w:rPr>
        <w:t xml:space="preserve"> p&lt;0.001) in patients treated with SGLT2i compared to </w:t>
      </w:r>
      <w:r w:rsidR="00066A9E" w:rsidRPr="003427A6">
        <w:rPr>
          <w:rFonts w:ascii="Candara" w:hAnsi="Candara"/>
          <w:color w:val="000000" w:themeColor="text1"/>
        </w:rPr>
        <w:t xml:space="preserve">other </w:t>
      </w:r>
      <w:r w:rsidR="00721FB3" w:rsidRPr="003427A6">
        <w:rPr>
          <w:rFonts w:ascii="Candara" w:hAnsi="Candara"/>
          <w:color w:val="000000" w:themeColor="text1"/>
        </w:rPr>
        <w:t>glucose-lowering agents</w:t>
      </w:r>
      <w:r w:rsidR="001C2D13" w:rsidRPr="003427A6">
        <w:rPr>
          <w:rFonts w:ascii="Candara" w:hAnsi="Candara"/>
          <w:color w:val="000000" w:themeColor="text1"/>
        </w:rPr>
        <w:t>.</w:t>
      </w:r>
      <w:r w:rsidR="001C2D13" w:rsidRPr="003427A6">
        <w:rPr>
          <w:rFonts w:ascii="Candara" w:hAnsi="Candara"/>
          <w:i/>
          <w:iCs/>
          <w:color w:val="000000" w:themeColor="text1"/>
        </w:rPr>
        <w:t xml:space="preserve"> </w:t>
      </w:r>
      <w:r w:rsidRPr="003427A6">
        <w:rPr>
          <w:rFonts w:ascii="Candara" w:hAnsi="Candara"/>
          <w:color w:val="000000" w:themeColor="text1"/>
        </w:rPr>
        <w:t>There were geographic differences noted among the</w:t>
      </w:r>
      <w:r w:rsidR="001C2D13" w:rsidRPr="003427A6">
        <w:rPr>
          <w:rFonts w:ascii="Candara" w:hAnsi="Candara"/>
          <w:color w:val="000000" w:themeColor="text1"/>
        </w:rPr>
        <w:t xml:space="preserve"> utilization of specific SGLT2i</w:t>
      </w:r>
      <w:r w:rsidRPr="003427A6">
        <w:rPr>
          <w:rFonts w:ascii="Candara" w:hAnsi="Candara"/>
          <w:color w:val="000000" w:themeColor="text1"/>
        </w:rPr>
        <w:t xml:space="preserve"> (92% dapagliflozin in Europe and 76% canagliflozin in the </w:t>
      </w:r>
      <w:r w:rsidR="001C2D13" w:rsidRPr="003427A6">
        <w:rPr>
          <w:rFonts w:ascii="Candara" w:hAnsi="Candara"/>
          <w:color w:val="000000" w:themeColor="text1"/>
        </w:rPr>
        <w:t>US);</w:t>
      </w:r>
      <w:r w:rsidRPr="003427A6">
        <w:rPr>
          <w:rFonts w:ascii="Candara" w:hAnsi="Candara"/>
          <w:color w:val="000000" w:themeColor="text1"/>
        </w:rPr>
        <w:t xml:space="preserve"> however, </w:t>
      </w:r>
      <w:r w:rsidR="001C2D13" w:rsidRPr="003427A6">
        <w:rPr>
          <w:rFonts w:ascii="Candara" w:hAnsi="Candara"/>
          <w:color w:val="000000" w:themeColor="text1"/>
        </w:rPr>
        <w:t xml:space="preserve">there was </w:t>
      </w:r>
      <w:r w:rsidRPr="003427A6">
        <w:rPr>
          <w:rFonts w:ascii="Candara" w:hAnsi="Candara"/>
          <w:color w:val="000000" w:themeColor="text1"/>
        </w:rPr>
        <w:t xml:space="preserve">no significant </w:t>
      </w:r>
      <w:r w:rsidR="00721FB3" w:rsidRPr="003427A6">
        <w:rPr>
          <w:rFonts w:ascii="Candara" w:hAnsi="Candara"/>
          <w:color w:val="000000" w:themeColor="text1"/>
        </w:rPr>
        <w:t xml:space="preserve">absolute or relative </w:t>
      </w:r>
      <w:r w:rsidRPr="003427A6">
        <w:rPr>
          <w:rFonts w:ascii="Candara" w:hAnsi="Candara"/>
          <w:color w:val="000000" w:themeColor="text1"/>
        </w:rPr>
        <w:t xml:space="preserve">difference in outcomes which suggests a class effect </w:t>
      </w:r>
      <w:r w:rsidR="001C2D13" w:rsidRPr="003427A6">
        <w:rPr>
          <w:rFonts w:ascii="Candara" w:hAnsi="Candara"/>
          <w:color w:val="000000" w:themeColor="text1"/>
        </w:rPr>
        <w:t xml:space="preserve">of </w:t>
      </w:r>
      <w:r w:rsidRPr="003427A6">
        <w:rPr>
          <w:rFonts w:ascii="Candara" w:hAnsi="Candara"/>
          <w:color w:val="000000" w:themeColor="text1"/>
        </w:rPr>
        <w:t xml:space="preserve">SGLT2i in lowering </w:t>
      </w:r>
      <w:r w:rsidR="001C2D13" w:rsidRPr="003427A6">
        <w:rPr>
          <w:rFonts w:ascii="Candara" w:hAnsi="Candara"/>
          <w:color w:val="000000" w:themeColor="text1"/>
        </w:rPr>
        <w:t xml:space="preserve">cardiovascular </w:t>
      </w:r>
      <w:r w:rsidRPr="003427A6">
        <w:rPr>
          <w:rFonts w:ascii="Candara" w:hAnsi="Candara"/>
          <w:color w:val="000000" w:themeColor="text1"/>
        </w:rPr>
        <w:t xml:space="preserve">risk.  </w:t>
      </w:r>
    </w:p>
    <w:p w14:paraId="405FE08D" w14:textId="24CD478F" w:rsidR="009C5F88" w:rsidRPr="003427A6" w:rsidRDefault="009C5F88" w:rsidP="0005772E">
      <w:pPr>
        <w:spacing w:line="360" w:lineRule="auto"/>
        <w:ind w:firstLine="720"/>
        <w:rPr>
          <w:rFonts w:ascii="Candara" w:hAnsi="Candara"/>
          <w:color w:val="000000" w:themeColor="text1"/>
        </w:rPr>
      </w:pPr>
      <w:r w:rsidRPr="003427A6">
        <w:rPr>
          <w:rFonts w:ascii="Candara" w:hAnsi="Candara"/>
          <w:color w:val="000000" w:themeColor="text1"/>
        </w:rPr>
        <w:t xml:space="preserve">In a </w:t>
      </w:r>
      <w:r w:rsidR="00066EF6" w:rsidRPr="003427A6">
        <w:rPr>
          <w:rFonts w:ascii="Candara" w:hAnsi="Candara"/>
          <w:color w:val="000000" w:themeColor="text1"/>
        </w:rPr>
        <w:t>subsequent</w:t>
      </w:r>
      <w:r w:rsidRPr="003427A6">
        <w:rPr>
          <w:rFonts w:ascii="Candara" w:hAnsi="Candara"/>
          <w:color w:val="000000" w:themeColor="text1"/>
        </w:rPr>
        <w:t xml:space="preserve"> study, </w:t>
      </w:r>
      <w:r w:rsidR="00FE775B" w:rsidRPr="003427A6">
        <w:rPr>
          <w:rFonts w:ascii="Candara" w:hAnsi="Candara"/>
          <w:color w:val="000000" w:themeColor="text1"/>
        </w:rPr>
        <w:t xml:space="preserve">the </w:t>
      </w:r>
      <w:r w:rsidRPr="003427A6">
        <w:rPr>
          <w:rFonts w:ascii="Candara" w:hAnsi="Candara"/>
          <w:color w:val="000000" w:themeColor="text1"/>
        </w:rPr>
        <w:t xml:space="preserve">CVD-REAL </w:t>
      </w:r>
      <w:r w:rsidR="00FE775B" w:rsidRPr="003427A6">
        <w:rPr>
          <w:rFonts w:ascii="Candara" w:hAnsi="Candara"/>
          <w:color w:val="000000" w:themeColor="text1"/>
        </w:rPr>
        <w:t xml:space="preserve">2 </w:t>
      </w:r>
      <w:r w:rsidR="00C5008F" w:rsidRPr="003427A6">
        <w:rPr>
          <w:rFonts w:ascii="Candara" w:hAnsi="Candara"/>
          <w:color w:val="000000" w:themeColor="text1"/>
        </w:rPr>
        <w:t>study</w:t>
      </w:r>
      <w:r w:rsidRPr="003427A6">
        <w:rPr>
          <w:rFonts w:ascii="Candara" w:hAnsi="Candara"/>
          <w:color w:val="000000" w:themeColor="text1"/>
        </w:rPr>
        <w:t>, the investigators evaluated a broad</w:t>
      </w:r>
      <w:r w:rsidR="0005772E" w:rsidRPr="003427A6">
        <w:rPr>
          <w:rFonts w:ascii="Candara" w:hAnsi="Candara"/>
          <w:color w:val="000000" w:themeColor="text1"/>
        </w:rPr>
        <w:t xml:space="preserve"> </w:t>
      </w:r>
      <w:r w:rsidRPr="003427A6">
        <w:rPr>
          <w:rFonts w:ascii="Candara" w:hAnsi="Candara"/>
          <w:color w:val="000000" w:themeColor="text1"/>
        </w:rPr>
        <w:t xml:space="preserve">range of cardiovascular outcomes in patients on </w:t>
      </w:r>
      <w:r w:rsidR="00FE775B" w:rsidRPr="003427A6">
        <w:rPr>
          <w:rFonts w:ascii="Candara" w:hAnsi="Candara"/>
          <w:color w:val="000000" w:themeColor="text1"/>
        </w:rPr>
        <w:t>SGLT2i</w:t>
      </w:r>
      <w:r w:rsidRPr="003427A6">
        <w:rPr>
          <w:rFonts w:ascii="Candara" w:hAnsi="Candara"/>
          <w:color w:val="000000" w:themeColor="text1"/>
        </w:rPr>
        <w:t xml:space="preserve"> compared with other </w:t>
      </w:r>
      <w:r w:rsidR="00721FB3" w:rsidRPr="003427A6">
        <w:rPr>
          <w:rFonts w:ascii="Candara" w:hAnsi="Candara"/>
          <w:color w:val="000000" w:themeColor="text1"/>
        </w:rPr>
        <w:t>antidiabetic agents</w:t>
      </w:r>
      <w:r w:rsidR="00FE775B" w:rsidRPr="003427A6">
        <w:rPr>
          <w:rFonts w:ascii="Candara" w:hAnsi="Candara"/>
          <w:color w:val="000000" w:themeColor="text1"/>
        </w:rPr>
        <w:t>. This study included over 400,000 patients</w:t>
      </w:r>
      <w:r w:rsidR="0005772E" w:rsidRPr="003427A6">
        <w:rPr>
          <w:rFonts w:ascii="Candara" w:hAnsi="Candara"/>
          <w:color w:val="000000" w:themeColor="text1"/>
        </w:rPr>
        <w:t xml:space="preserve"> </w:t>
      </w:r>
      <w:r w:rsidRPr="003427A6">
        <w:rPr>
          <w:rFonts w:ascii="Candara" w:hAnsi="Candara"/>
          <w:color w:val="000000" w:themeColor="text1"/>
        </w:rPr>
        <w:t>from South Korea, Japan, Singapore, Israel, Australia and Canada</w:t>
      </w:r>
      <w:r w:rsidR="00FE775B" w:rsidRPr="003427A6">
        <w:rPr>
          <w:rFonts w:ascii="Candara" w:hAnsi="Candara"/>
          <w:color w:val="000000" w:themeColor="text1"/>
        </w:rPr>
        <w:t>; 27% had established cardiovascular disease</w:t>
      </w:r>
      <w:r w:rsidRPr="003427A6">
        <w:rPr>
          <w:rFonts w:ascii="Candara" w:hAnsi="Candara"/>
          <w:color w:val="000000" w:themeColor="text1"/>
        </w:rPr>
        <w:t>.</w:t>
      </w:r>
      <w:r w:rsidR="009F3744" w:rsidRPr="003427A6">
        <w:rPr>
          <w:rStyle w:val="af8"/>
          <w:rFonts w:ascii="Candara" w:hAnsi="Candara"/>
          <w:color w:val="000000" w:themeColor="text1"/>
        </w:rPr>
        <w:endnoteReference w:id="33"/>
      </w:r>
      <w:r w:rsidRPr="003427A6">
        <w:rPr>
          <w:rFonts w:ascii="Candara" w:hAnsi="Candara"/>
          <w:color w:val="000000" w:themeColor="text1"/>
        </w:rPr>
        <w:t xml:space="preserve">  Po</w:t>
      </w:r>
      <w:r w:rsidR="006F7841" w:rsidRPr="003427A6">
        <w:rPr>
          <w:rFonts w:ascii="Candara" w:hAnsi="Candara"/>
          <w:color w:val="000000" w:themeColor="text1"/>
        </w:rPr>
        <w:t>oled analyse</w:t>
      </w:r>
      <w:r w:rsidRPr="003427A6">
        <w:rPr>
          <w:rFonts w:ascii="Candara" w:hAnsi="Candara"/>
          <w:color w:val="000000" w:themeColor="text1"/>
        </w:rPr>
        <w:t xml:space="preserve">s showed that </w:t>
      </w:r>
      <w:r w:rsidR="006F7841" w:rsidRPr="003427A6">
        <w:rPr>
          <w:rFonts w:ascii="Candara" w:hAnsi="Candara"/>
          <w:color w:val="000000" w:themeColor="text1"/>
        </w:rPr>
        <w:t xml:space="preserve">the </w:t>
      </w:r>
      <w:r w:rsidRPr="003427A6">
        <w:rPr>
          <w:rFonts w:ascii="Candara" w:hAnsi="Candara"/>
          <w:color w:val="000000" w:themeColor="text1"/>
        </w:rPr>
        <w:t>use of SGLT2i  was associated with a lower risk of all cause death</w:t>
      </w:r>
      <w:r w:rsidR="00FE775B" w:rsidRPr="003427A6">
        <w:rPr>
          <w:rFonts w:ascii="Candara" w:hAnsi="Candara"/>
          <w:color w:val="000000" w:themeColor="text1"/>
        </w:rPr>
        <w:t xml:space="preserve"> </w:t>
      </w:r>
      <w:r w:rsidRPr="003427A6">
        <w:rPr>
          <w:rFonts w:ascii="Candara" w:hAnsi="Candara"/>
          <w:color w:val="000000" w:themeColor="text1"/>
        </w:rPr>
        <w:t>(HR</w:t>
      </w:r>
      <w:r w:rsidR="00FE775B" w:rsidRPr="003427A6">
        <w:rPr>
          <w:rFonts w:ascii="Candara" w:hAnsi="Candara"/>
          <w:color w:val="000000" w:themeColor="text1"/>
        </w:rPr>
        <w:t>=</w:t>
      </w:r>
      <w:r w:rsidRPr="003427A6">
        <w:rPr>
          <w:rFonts w:ascii="Candara" w:hAnsi="Candara"/>
          <w:color w:val="000000" w:themeColor="text1"/>
        </w:rPr>
        <w:t>0.51</w:t>
      </w:r>
      <w:r w:rsidR="00FE775B" w:rsidRPr="003427A6">
        <w:rPr>
          <w:rFonts w:ascii="Candara" w:hAnsi="Candara"/>
          <w:color w:val="000000" w:themeColor="text1"/>
        </w:rPr>
        <w:t>,</w:t>
      </w:r>
      <w:r w:rsidRPr="003427A6">
        <w:rPr>
          <w:rFonts w:ascii="Candara" w:hAnsi="Candara"/>
          <w:color w:val="000000" w:themeColor="text1"/>
        </w:rPr>
        <w:t xml:space="preserve"> 95% </w:t>
      </w:r>
      <w:r w:rsidR="00FE775B" w:rsidRPr="003427A6">
        <w:rPr>
          <w:rFonts w:ascii="Candara" w:hAnsi="Candara"/>
          <w:color w:val="000000" w:themeColor="text1"/>
        </w:rPr>
        <w:t>CI =</w:t>
      </w:r>
      <w:r w:rsidRPr="003427A6">
        <w:rPr>
          <w:rFonts w:ascii="Candara" w:hAnsi="Candara"/>
          <w:color w:val="000000" w:themeColor="text1"/>
        </w:rPr>
        <w:t xml:space="preserve"> 0.37-0.70</w:t>
      </w:r>
      <w:r w:rsidR="00FE775B" w:rsidRPr="003427A6">
        <w:rPr>
          <w:rFonts w:ascii="Candara" w:hAnsi="Candara"/>
          <w:color w:val="000000" w:themeColor="text1"/>
        </w:rPr>
        <w:t>,</w:t>
      </w:r>
      <w:r w:rsidRPr="003427A6">
        <w:rPr>
          <w:rFonts w:ascii="Candara" w:hAnsi="Candara"/>
          <w:color w:val="000000" w:themeColor="text1"/>
        </w:rPr>
        <w:t xml:space="preserve"> p&lt;0.001), </w:t>
      </w:r>
      <w:r w:rsidR="00FE775B" w:rsidRPr="003427A6">
        <w:rPr>
          <w:rFonts w:ascii="Candara" w:hAnsi="Candara"/>
          <w:color w:val="000000" w:themeColor="text1"/>
        </w:rPr>
        <w:t xml:space="preserve">HF hospitalization </w:t>
      </w:r>
      <w:r w:rsidRPr="003427A6">
        <w:rPr>
          <w:rFonts w:ascii="Candara" w:hAnsi="Candara"/>
          <w:color w:val="000000" w:themeColor="text1"/>
        </w:rPr>
        <w:t>(HR</w:t>
      </w:r>
      <w:r w:rsidR="00FE775B" w:rsidRPr="003427A6">
        <w:rPr>
          <w:rFonts w:ascii="Candara" w:hAnsi="Candara"/>
          <w:color w:val="000000" w:themeColor="text1"/>
        </w:rPr>
        <w:t>=</w:t>
      </w:r>
      <w:r w:rsidRPr="003427A6">
        <w:rPr>
          <w:rFonts w:ascii="Candara" w:hAnsi="Candara"/>
          <w:color w:val="000000" w:themeColor="text1"/>
        </w:rPr>
        <w:t>0.64</w:t>
      </w:r>
      <w:r w:rsidR="00FE775B" w:rsidRPr="003427A6">
        <w:rPr>
          <w:rFonts w:ascii="Candara" w:hAnsi="Candara"/>
          <w:color w:val="000000" w:themeColor="text1"/>
        </w:rPr>
        <w:t>,</w:t>
      </w:r>
      <w:r w:rsidRPr="003427A6">
        <w:rPr>
          <w:rFonts w:ascii="Candara" w:hAnsi="Candara"/>
          <w:color w:val="000000" w:themeColor="text1"/>
        </w:rPr>
        <w:t xml:space="preserve"> 95% </w:t>
      </w:r>
      <w:r w:rsidR="00FE775B" w:rsidRPr="003427A6">
        <w:rPr>
          <w:rFonts w:ascii="Candara" w:hAnsi="Candara"/>
          <w:color w:val="000000" w:themeColor="text1"/>
        </w:rPr>
        <w:t>CI =</w:t>
      </w:r>
      <w:r w:rsidRPr="003427A6">
        <w:rPr>
          <w:rFonts w:ascii="Candara" w:hAnsi="Candara"/>
          <w:color w:val="000000" w:themeColor="text1"/>
        </w:rPr>
        <w:t xml:space="preserve"> 0.50-0.82</w:t>
      </w:r>
      <w:r w:rsidR="00FE775B" w:rsidRPr="003427A6">
        <w:rPr>
          <w:rFonts w:ascii="Candara" w:hAnsi="Candara"/>
          <w:color w:val="000000" w:themeColor="text1"/>
        </w:rPr>
        <w:t xml:space="preserve">, </w:t>
      </w:r>
      <w:r w:rsidRPr="003427A6">
        <w:rPr>
          <w:rFonts w:ascii="Candara" w:hAnsi="Candara"/>
          <w:color w:val="000000" w:themeColor="text1"/>
        </w:rPr>
        <w:t xml:space="preserve">p&lt;0.001), composite death or </w:t>
      </w:r>
      <w:r w:rsidR="00FE775B" w:rsidRPr="003427A6">
        <w:rPr>
          <w:rFonts w:ascii="Candara" w:hAnsi="Candara"/>
          <w:color w:val="000000" w:themeColor="text1"/>
        </w:rPr>
        <w:t xml:space="preserve">HF hospitalization </w:t>
      </w:r>
      <w:r w:rsidRPr="003427A6">
        <w:rPr>
          <w:rFonts w:ascii="Candara" w:hAnsi="Candara"/>
          <w:color w:val="000000" w:themeColor="text1"/>
        </w:rPr>
        <w:t>(HR</w:t>
      </w:r>
      <w:r w:rsidR="00FE775B" w:rsidRPr="003427A6">
        <w:rPr>
          <w:rFonts w:ascii="Candara" w:hAnsi="Candara"/>
          <w:color w:val="000000" w:themeColor="text1"/>
        </w:rPr>
        <w:t>=</w:t>
      </w:r>
      <w:r w:rsidRPr="003427A6">
        <w:rPr>
          <w:rFonts w:ascii="Candara" w:hAnsi="Candara"/>
          <w:color w:val="000000" w:themeColor="text1"/>
        </w:rPr>
        <w:t>0.60</w:t>
      </w:r>
      <w:r w:rsidR="00FE775B" w:rsidRPr="003427A6">
        <w:rPr>
          <w:rFonts w:ascii="Candara" w:hAnsi="Candara"/>
          <w:color w:val="000000" w:themeColor="text1"/>
        </w:rPr>
        <w:t>,</w:t>
      </w:r>
      <w:r w:rsidRPr="003427A6">
        <w:rPr>
          <w:rFonts w:ascii="Candara" w:hAnsi="Candara"/>
          <w:color w:val="000000" w:themeColor="text1"/>
        </w:rPr>
        <w:t xml:space="preserve"> 95% </w:t>
      </w:r>
      <w:r w:rsidR="00FE775B" w:rsidRPr="003427A6">
        <w:rPr>
          <w:rFonts w:ascii="Candara" w:hAnsi="Candara"/>
          <w:color w:val="000000" w:themeColor="text1"/>
        </w:rPr>
        <w:t>CI =</w:t>
      </w:r>
      <w:r w:rsidRPr="003427A6">
        <w:rPr>
          <w:rFonts w:ascii="Candara" w:hAnsi="Candara"/>
          <w:color w:val="000000" w:themeColor="text1"/>
        </w:rPr>
        <w:t xml:space="preserve"> 0.47-0.76</w:t>
      </w:r>
      <w:r w:rsidR="00FE775B" w:rsidRPr="003427A6">
        <w:rPr>
          <w:rFonts w:ascii="Candara" w:hAnsi="Candara"/>
          <w:color w:val="000000" w:themeColor="text1"/>
        </w:rPr>
        <w:t>,</w:t>
      </w:r>
      <w:r w:rsidRPr="003427A6">
        <w:rPr>
          <w:rFonts w:ascii="Candara" w:hAnsi="Candara"/>
          <w:color w:val="000000" w:themeColor="text1"/>
        </w:rPr>
        <w:t xml:space="preserve"> p&lt;0.001), MI (HR</w:t>
      </w:r>
      <w:r w:rsidR="00597AED" w:rsidRPr="003427A6">
        <w:rPr>
          <w:rFonts w:ascii="Candara" w:hAnsi="Candara"/>
          <w:color w:val="000000" w:themeColor="text1"/>
        </w:rPr>
        <w:t>=</w:t>
      </w:r>
      <w:r w:rsidRPr="003427A6">
        <w:rPr>
          <w:rFonts w:ascii="Candara" w:hAnsi="Candara"/>
          <w:color w:val="000000" w:themeColor="text1"/>
        </w:rPr>
        <w:t>0.81</w:t>
      </w:r>
      <w:r w:rsidR="00597AED" w:rsidRPr="003427A6">
        <w:rPr>
          <w:rFonts w:ascii="Candara" w:hAnsi="Candara"/>
          <w:color w:val="000000" w:themeColor="text1"/>
        </w:rPr>
        <w:t>,</w:t>
      </w:r>
      <w:r w:rsidRPr="003427A6">
        <w:rPr>
          <w:rFonts w:ascii="Candara" w:hAnsi="Candara"/>
          <w:color w:val="000000" w:themeColor="text1"/>
        </w:rPr>
        <w:t xml:space="preserve"> 95% </w:t>
      </w:r>
      <w:r w:rsidR="00597AED" w:rsidRPr="003427A6">
        <w:rPr>
          <w:rFonts w:ascii="Candara" w:hAnsi="Candara"/>
          <w:color w:val="000000" w:themeColor="text1"/>
        </w:rPr>
        <w:t>CI =</w:t>
      </w:r>
      <w:r w:rsidRPr="003427A6">
        <w:rPr>
          <w:rFonts w:ascii="Candara" w:hAnsi="Candara"/>
          <w:color w:val="000000" w:themeColor="text1"/>
        </w:rPr>
        <w:t xml:space="preserve"> 0.74-0.88</w:t>
      </w:r>
      <w:r w:rsidR="00597AED" w:rsidRPr="003427A6">
        <w:rPr>
          <w:rFonts w:ascii="Candara" w:hAnsi="Candara"/>
          <w:color w:val="000000" w:themeColor="text1"/>
        </w:rPr>
        <w:t>,</w:t>
      </w:r>
      <w:r w:rsidRPr="003427A6">
        <w:rPr>
          <w:rFonts w:ascii="Candara" w:hAnsi="Candara"/>
          <w:color w:val="000000" w:themeColor="text1"/>
        </w:rPr>
        <w:t xml:space="preserve"> p&lt;0.001), and stroke (HR</w:t>
      </w:r>
      <w:r w:rsidR="00597AED" w:rsidRPr="003427A6">
        <w:rPr>
          <w:rFonts w:ascii="Candara" w:hAnsi="Candara"/>
          <w:color w:val="000000" w:themeColor="text1"/>
        </w:rPr>
        <w:t>=</w:t>
      </w:r>
      <w:r w:rsidRPr="003427A6">
        <w:rPr>
          <w:rFonts w:ascii="Candara" w:hAnsi="Candara"/>
          <w:color w:val="000000" w:themeColor="text1"/>
        </w:rPr>
        <w:t>0.68</w:t>
      </w:r>
      <w:r w:rsidR="00597AED" w:rsidRPr="003427A6">
        <w:rPr>
          <w:rFonts w:ascii="Candara" w:hAnsi="Candara"/>
          <w:color w:val="000000" w:themeColor="text1"/>
        </w:rPr>
        <w:t>,</w:t>
      </w:r>
      <w:r w:rsidRPr="003427A6">
        <w:rPr>
          <w:rFonts w:ascii="Candara" w:hAnsi="Candara"/>
          <w:color w:val="000000" w:themeColor="text1"/>
        </w:rPr>
        <w:t xml:space="preserve"> 95% </w:t>
      </w:r>
      <w:r w:rsidR="00597AED" w:rsidRPr="003427A6">
        <w:rPr>
          <w:rFonts w:ascii="Candara" w:hAnsi="Candara"/>
          <w:color w:val="000000" w:themeColor="text1"/>
        </w:rPr>
        <w:t>CI = 0.55-0.84,</w:t>
      </w:r>
      <w:r w:rsidRPr="003427A6">
        <w:rPr>
          <w:rFonts w:ascii="Candara" w:hAnsi="Candara"/>
          <w:color w:val="000000" w:themeColor="text1"/>
        </w:rPr>
        <w:t xml:space="preserve"> p&lt;0.001).  These results were similar </w:t>
      </w:r>
      <w:r w:rsidR="006D1E98" w:rsidRPr="003427A6">
        <w:rPr>
          <w:rFonts w:ascii="Candara" w:hAnsi="Candara"/>
          <w:color w:val="000000" w:themeColor="text1"/>
        </w:rPr>
        <w:t>regardless of</w:t>
      </w:r>
      <w:r w:rsidRPr="003427A6">
        <w:rPr>
          <w:rFonts w:ascii="Candara" w:hAnsi="Candara"/>
          <w:color w:val="000000" w:themeColor="text1"/>
        </w:rPr>
        <w:t xml:space="preserve"> countr</w:t>
      </w:r>
      <w:r w:rsidR="006D1E98" w:rsidRPr="003427A6">
        <w:rPr>
          <w:rFonts w:ascii="Candara" w:hAnsi="Candara"/>
          <w:color w:val="000000" w:themeColor="text1"/>
        </w:rPr>
        <w:t>y and patient subgroup</w:t>
      </w:r>
      <w:r w:rsidRPr="003427A6">
        <w:rPr>
          <w:rFonts w:ascii="Candara" w:hAnsi="Candara"/>
          <w:color w:val="000000" w:themeColor="text1"/>
        </w:rPr>
        <w:t xml:space="preserve">.  </w:t>
      </w:r>
    </w:p>
    <w:p w14:paraId="17AAC050" w14:textId="1054F324" w:rsidR="00E76681" w:rsidRPr="003427A6" w:rsidRDefault="00823657" w:rsidP="00FC4CE1">
      <w:pPr>
        <w:spacing w:line="360" w:lineRule="auto"/>
        <w:rPr>
          <w:rFonts w:ascii="Candara" w:hAnsi="Candara"/>
          <w:color w:val="000000" w:themeColor="text1"/>
        </w:rPr>
      </w:pPr>
      <w:r w:rsidRPr="003427A6">
        <w:rPr>
          <w:rFonts w:ascii="Candara" w:hAnsi="Candara"/>
          <w:i/>
          <w:color w:val="000000" w:themeColor="text1"/>
        </w:rPr>
        <w:t xml:space="preserve"> </w:t>
      </w:r>
    </w:p>
    <w:p w14:paraId="336F6A0E" w14:textId="15CCBC63" w:rsidR="005508CB" w:rsidRPr="003427A6" w:rsidRDefault="005508CB" w:rsidP="00D81924">
      <w:pPr>
        <w:spacing w:line="360" w:lineRule="auto"/>
        <w:outlineLvl w:val="0"/>
        <w:rPr>
          <w:rFonts w:ascii="Candara" w:hAnsi="Candara"/>
          <w:b/>
          <w:color w:val="0D0D0D" w:themeColor="text1" w:themeTint="F2"/>
        </w:rPr>
      </w:pPr>
      <w:r w:rsidRPr="003427A6">
        <w:rPr>
          <w:rFonts w:ascii="Candara" w:hAnsi="Candara"/>
          <w:b/>
          <w:color w:val="0D0D0D" w:themeColor="text1" w:themeTint="F2"/>
        </w:rPr>
        <w:lastRenderedPageBreak/>
        <w:t>COMMON</w:t>
      </w:r>
      <w:r w:rsidR="00135304" w:rsidRPr="003427A6">
        <w:rPr>
          <w:rFonts w:ascii="Candara" w:hAnsi="Candara"/>
          <w:b/>
          <w:color w:val="0D0D0D" w:themeColor="text1" w:themeTint="F2"/>
        </w:rPr>
        <w:t xml:space="preserve"> </w:t>
      </w:r>
      <w:r w:rsidR="001D1471" w:rsidRPr="003427A6">
        <w:rPr>
          <w:rFonts w:ascii="Candara" w:hAnsi="Candara"/>
          <w:b/>
          <w:color w:val="0D0D0D" w:themeColor="text1" w:themeTint="F2"/>
        </w:rPr>
        <w:t>MECHANISM</w:t>
      </w:r>
      <w:r w:rsidRPr="003427A6">
        <w:rPr>
          <w:rFonts w:ascii="Candara" w:hAnsi="Candara"/>
          <w:b/>
          <w:color w:val="0D0D0D" w:themeColor="text1" w:themeTint="F2"/>
        </w:rPr>
        <w:t>S</w:t>
      </w:r>
      <w:r w:rsidR="001D1471" w:rsidRPr="003427A6">
        <w:rPr>
          <w:rFonts w:ascii="Candara" w:hAnsi="Candara"/>
          <w:b/>
          <w:color w:val="0D0D0D" w:themeColor="text1" w:themeTint="F2"/>
        </w:rPr>
        <w:t xml:space="preserve"> </w:t>
      </w:r>
      <w:r w:rsidR="006F2B1D" w:rsidRPr="003427A6">
        <w:rPr>
          <w:rFonts w:ascii="Candara" w:hAnsi="Candara"/>
          <w:b/>
          <w:color w:val="0D0D0D" w:themeColor="text1" w:themeTint="F2"/>
        </w:rPr>
        <w:t>OF CARDIORENAL BENEFIT</w:t>
      </w:r>
    </w:p>
    <w:p w14:paraId="6A63CCE6" w14:textId="77777777" w:rsidR="00F0304D" w:rsidRPr="003427A6" w:rsidRDefault="00F0304D" w:rsidP="00D81924">
      <w:pPr>
        <w:spacing w:line="360" w:lineRule="auto"/>
        <w:outlineLvl w:val="0"/>
        <w:rPr>
          <w:rFonts w:ascii="Candara" w:hAnsi="Candara"/>
          <w:b/>
          <w:color w:val="0D0D0D" w:themeColor="text1" w:themeTint="F2"/>
        </w:rPr>
      </w:pPr>
    </w:p>
    <w:p w14:paraId="5DCBF53E" w14:textId="722AA716" w:rsidR="00587A17" w:rsidRPr="003427A6" w:rsidRDefault="003523C5" w:rsidP="0036030E">
      <w:pPr>
        <w:spacing w:line="360" w:lineRule="auto"/>
        <w:ind w:firstLine="720"/>
        <w:outlineLvl w:val="0"/>
        <w:rPr>
          <w:rFonts w:ascii="Candara" w:eastAsia="Times New Roman" w:hAnsi="Candara" w:cs="Times New Roman"/>
        </w:rPr>
      </w:pPr>
      <w:r w:rsidRPr="003427A6">
        <w:rPr>
          <w:rFonts w:ascii="Candara" w:eastAsia="Times New Roman" w:hAnsi="Candara" w:cs="Times New Roman"/>
        </w:rPr>
        <w:t>Any potential mechanism of SGLT2</w:t>
      </w:r>
      <w:r w:rsidR="001B1F35" w:rsidRPr="003427A6">
        <w:rPr>
          <w:rFonts w:ascii="Candara" w:eastAsia="Times New Roman" w:hAnsi="Candara" w:cs="Times New Roman"/>
        </w:rPr>
        <w:t>i</w:t>
      </w:r>
      <w:r w:rsidRPr="003427A6">
        <w:rPr>
          <w:rFonts w:ascii="Candara" w:eastAsia="Times New Roman" w:hAnsi="Candara" w:cs="Times New Roman"/>
        </w:rPr>
        <w:t xml:space="preserve"> benefiting </w:t>
      </w:r>
      <w:r w:rsidR="0036030E" w:rsidRPr="003427A6">
        <w:rPr>
          <w:rFonts w:ascii="Candara" w:eastAsia="Times New Roman" w:hAnsi="Candara" w:cs="Times New Roman"/>
        </w:rPr>
        <w:t>the heart and the kidneys</w:t>
      </w:r>
      <w:r w:rsidR="00942C12" w:rsidRPr="003427A6">
        <w:rPr>
          <w:rFonts w:ascii="Candara" w:eastAsia="Times New Roman" w:hAnsi="Candara" w:cs="Times New Roman"/>
        </w:rPr>
        <w:t xml:space="preserve"> should </w:t>
      </w:r>
      <w:r w:rsidR="00E8605A" w:rsidRPr="003427A6">
        <w:rPr>
          <w:rFonts w:ascii="Candara" w:eastAsia="Times New Roman" w:hAnsi="Candara" w:cs="Times New Roman"/>
        </w:rPr>
        <w:t>consider</w:t>
      </w:r>
      <w:r w:rsidR="00942C12" w:rsidRPr="003427A6">
        <w:rPr>
          <w:rFonts w:ascii="Candara" w:eastAsia="Times New Roman" w:hAnsi="Candara" w:cs="Times New Roman"/>
        </w:rPr>
        <w:t xml:space="preserve"> t</w:t>
      </w:r>
      <w:r w:rsidRPr="003427A6">
        <w:rPr>
          <w:rFonts w:ascii="Candara" w:eastAsia="Times New Roman" w:hAnsi="Candara" w:cs="Times New Roman"/>
        </w:rPr>
        <w:t>he s</w:t>
      </w:r>
      <w:r w:rsidR="0036030E" w:rsidRPr="003427A6">
        <w:rPr>
          <w:rFonts w:ascii="Candara" w:eastAsia="Times New Roman" w:hAnsi="Candara" w:cs="Times New Roman"/>
        </w:rPr>
        <w:t xml:space="preserve">imultaneous impact on </w:t>
      </w:r>
      <w:bookmarkStart w:id="10" w:name="_Hlk2489350"/>
      <w:r w:rsidR="0036030E" w:rsidRPr="003427A6">
        <w:rPr>
          <w:rFonts w:ascii="Candara" w:eastAsia="Times New Roman" w:hAnsi="Candara" w:cs="Times New Roman"/>
        </w:rPr>
        <w:t>known</w:t>
      </w:r>
      <w:r w:rsidR="006F7FB5" w:rsidRPr="003427A6">
        <w:rPr>
          <w:rFonts w:ascii="Candara" w:eastAsia="Times New Roman" w:hAnsi="Candara" w:cs="Times New Roman"/>
        </w:rPr>
        <w:t xml:space="preserve"> and accepted</w:t>
      </w:r>
      <w:r w:rsidR="0036030E" w:rsidRPr="003427A6">
        <w:rPr>
          <w:rFonts w:ascii="Candara" w:eastAsia="Times New Roman" w:hAnsi="Candara" w:cs="Times New Roman"/>
        </w:rPr>
        <w:t xml:space="preserve"> risk factors </w:t>
      </w:r>
      <w:bookmarkEnd w:id="10"/>
      <w:r w:rsidR="0036030E" w:rsidRPr="003427A6">
        <w:rPr>
          <w:rFonts w:ascii="Candara" w:eastAsia="Times New Roman" w:hAnsi="Candara" w:cs="Times New Roman"/>
        </w:rPr>
        <w:t>for disease progression.</w:t>
      </w:r>
      <w:r w:rsidR="00ED1C06" w:rsidRPr="003427A6">
        <w:rPr>
          <w:rFonts w:ascii="Candara" w:eastAsia="Times New Roman" w:hAnsi="Candara" w:cs="Times New Roman"/>
        </w:rPr>
        <w:t xml:space="preserve">  For the outcome of </w:t>
      </w:r>
      <w:r w:rsidR="001B1F35" w:rsidRPr="003427A6">
        <w:rPr>
          <w:rFonts w:ascii="Candara" w:eastAsia="Times New Roman" w:hAnsi="Candara" w:cs="Times New Roman"/>
        </w:rPr>
        <w:t>HF</w:t>
      </w:r>
      <w:r w:rsidR="00ED1C06" w:rsidRPr="003427A6">
        <w:rPr>
          <w:rFonts w:ascii="Candara" w:eastAsia="Times New Roman" w:hAnsi="Candara" w:cs="Times New Roman"/>
        </w:rPr>
        <w:t xml:space="preserve"> and cardiovascular death, there are three principles of disease progression:  1) pressure overload, 2) volume overload, and 3) cardiomyopathy</w:t>
      </w:r>
      <w:r w:rsidR="00721FB3" w:rsidRPr="003427A6">
        <w:rPr>
          <w:rFonts w:ascii="Candara" w:eastAsia="Times New Roman" w:hAnsi="Candara" w:cs="Times New Roman"/>
        </w:rPr>
        <w:t xml:space="preserve"> as it relates to structure, function, or resilience of the myocardium in response to disease</w:t>
      </w:r>
      <w:r w:rsidR="00ED1C06" w:rsidRPr="003427A6">
        <w:rPr>
          <w:rFonts w:ascii="Candara" w:eastAsia="Times New Roman" w:hAnsi="Candara" w:cs="Times New Roman"/>
        </w:rPr>
        <w:t>.  For diabetic nephropathy there are two mechanistic principles of treatment:  1) glycemic control</w:t>
      </w:r>
      <w:r w:rsidR="001B1F35" w:rsidRPr="003427A6">
        <w:rPr>
          <w:rFonts w:ascii="Candara" w:eastAsia="Times New Roman" w:hAnsi="Candara" w:cs="Times New Roman"/>
        </w:rPr>
        <w:t xml:space="preserve"> and</w:t>
      </w:r>
      <w:r w:rsidR="00ED1C06" w:rsidRPr="003427A6">
        <w:rPr>
          <w:rFonts w:ascii="Candara" w:eastAsia="Times New Roman" w:hAnsi="Candara" w:cs="Times New Roman"/>
        </w:rPr>
        <w:t xml:space="preserve"> 2) blood pressure control.</w:t>
      </w:r>
      <w:r w:rsidR="0036030E" w:rsidRPr="003427A6">
        <w:rPr>
          <w:rFonts w:ascii="Candara" w:eastAsia="Times New Roman" w:hAnsi="Candara" w:cs="Times New Roman"/>
        </w:rPr>
        <w:t xml:space="preserve"> </w:t>
      </w:r>
    </w:p>
    <w:p w14:paraId="71D7BE34" w14:textId="7CA8BAD6" w:rsidR="00283EB3" w:rsidRPr="003427A6" w:rsidRDefault="00283EB3" w:rsidP="0036030E">
      <w:pPr>
        <w:spacing w:line="360" w:lineRule="auto"/>
        <w:ind w:firstLine="720"/>
        <w:outlineLvl w:val="0"/>
        <w:rPr>
          <w:rFonts w:ascii="Candara" w:hAnsi="Candara"/>
          <w:color w:val="0D0D0D" w:themeColor="text1" w:themeTint="F2"/>
        </w:rPr>
      </w:pPr>
    </w:p>
    <w:p w14:paraId="748C2941" w14:textId="36DB3B4F" w:rsidR="00587A17" w:rsidRPr="003427A6" w:rsidRDefault="00283EB3" w:rsidP="009466A7">
      <w:pPr>
        <w:spacing w:line="360" w:lineRule="auto"/>
        <w:rPr>
          <w:rFonts w:ascii="Candara" w:hAnsi="Candara"/>
          <w:color w:val="0D0D0D" w:themeColor="text1" w:themeTint="F2"/>
        </w:rPr>
      </w:pPr>
      <w:r w:rsidRPr="003427A6">
        <w:rPr>
          <w:rFonts w:ascii="Candara" w:hAnsi="Candara"/>
          <w:b/>
          <w:i/>
          <w:color w:val="0D0D0D" w:themeColor="text1" w:themeTint="F2"/>
        </w:rPr>
        <w:t>Improvements in Glycemic Control:</w:t>
      </w:r>
      <w:r w:rsidRPr="003427A6">
        <w:rPr>
          <w:rFonts w:ascii="Candara" w:hAnsi="Candara"/>
          <w:color w:val="0D0D0D" w:themeColor="text1" w:themeTint="F2"/>
        </w:rPr>
        <w:t xml:space="preserve">  </w:t>
      </w:r>
      <w:r w:rsidR="009466A7" w:rsidRPr="003427A6">
        <w:rPr>
          <w:rFonts w:ascii="Candara" w:hAnsi="Candara"/>
          <w:color w:val="0D0D0D" w:themeColor="text1" w:themeTint="F2"/>
        </w:rPr>
        <w:t>SGLT2 is located almost exclusively in the proximal renal tubule, while SGLT1 transporters are also located in the intestines, heart, and skeletal muscles.</w:t>
      </w:r>
      <w:r w:rsidR="009466A7" w:rsidRPr="003427A6">
        <w:rPr>
          <w:rStyle w:val="af8"/>
          <w:rFonts w:ascii="Candara" w:hAnsi="Candara"/>
          <w:color w:val="0D0D0D" w:themeColor="text1" w:themeTint="F2"/>
        </w:rPr>
        <w:endnoteReference w:id="34"/>
      </w:r>
      <w:r w:rsidR="009466A7" w:rsidRPr="003427A6">
        <w:rPr>
          <w:rFonts w:ascii="Candara" w:hAnsi="Candara"/>
          <w:color w:val="0D0D0D" w:themeColor="text1" w:themeTint="F2"/>
        </w:rPr>
        <w:t xml:space="preserve"> Glucose reabsorption in the kidneys occurs in a sodium-dependent manner via SGLT transporters, with most reabsorption occurring at the proximal convoluted tubule through SGLT2 and a smaller portion in the distal segment of the proximal tubule by SGLT1.</w:t>
      </w:r>
      <w:r w:rsidR="009466A7" w:rsidRPr="003427A6">
        <w:rPr>
          <w:rStyle w:val="af8"/>
          <w:rFonts w:ascii="Candara" w:hAnsi="Candara"/>
          <w:color w:val="0D0D0D" w:themeColor="text1" w:themeTint="F2"/>
        </w:rPr>
        <w:endnoteReference w:id="35"/>
      </w:r>
      <w:r w:rsidR="009466A7" w:rsidRPr="003427A6">
        <w:rPr>
          <w:rFonts w:ascii="Candara" w:hAnsi="Candara"/>
          <w:color w:val="0D0D0D" w:themeColor="text1" w:themeTint="F2"/>
        </w:rPr>
        <w:t xml:space="preserve"> Once the maximum glucose transport capacity has been reached, excess glucose is</w:t>
      </w:r>
      <w:r w:rsidR="00B77D76" w:rsidRPr="003427A6">
        <w:rPr>
          <w:rFonts w:ascii="Candara" w:hAnsi="Candara"/>
          <w:color w:val="0D0D0D" w:themeColor="text1" w:themeTint="F2"/>
        </w:rPr>
        <w:t xml:space="preserve"> excreted into the urine. SGLT2i </w:t>
      </w:r>
      <w:r w:rsidR="009466A7" w:rsidRPr="003427A6">
        <w:rPr>
          <w:rFonts w:ascii="Candara" w:hAnsi="Candara"/>
          <w:color w:val="0D0D0D" w:themeColor="text1" w:themeTint="F2"/>
        </w:rPr>
        <w:t>lead to increased urinary glucose excretion by blocking SGLT2-mediated glucose reabsorption which is dependent upon the number of functioning nephrons and by proxy, the eGFR.</w:t>
      </w:r>
      <w:r w:rsidR="009466A7" w:rsidRPr="003427A6">
        <w:rPr>
          <w:rFonts w:ascii="Candara" w:hAnsi="Candara" w:cs="Times New Roman"/>
          <w:color w:val="0D0D0D" w:themeColor="text1" w:themeTint="F2"/>
        </w:rPr>
        <w:t xml:space="preserve"> </w:t>
      </w:r>
      <w:r w:rsidRPr="003427A6">
        <w:rPr>
          <w:rFonts w:ascii="Candara" w:hAnsi="Candara"/>
          <w:color w:val="0D0D0D" w:themeColor="text1" w:themeTint="F2"/>
        </w:rPr>
        <w:t xml:space="preserve">SGLT2i as monotherapy and in combination with oral medications in T2DM as well as injectable therapies consistently improves glycemic control to a modest degree.  Because </w:t>
      </w:r>
      <w:r w:rsidR="007122FD" w:rsidRPr="003427A6">
        <w:rPr>
          <w:rFonts w:ascii="Candara" w:hAnsi="Candara"/>
          <w:color w:val="0D0D0D" w:themeColor="text1" w:themeTint="F2"/>
        </w:rPr>
        <w:t>SGLT</w:t>
      </w:r>
      <w:r w:rsidR="00B77D76" w:rsidRPr="003427A6">
        <w:rPr>
          <w:rFonts w:ascii="Candara" w:hAnsi="Candara"/>
          <w:color w:val="0D0D0D" w:themeColor="text1" w:themeTint="F2"/>
        </w:rPr>
        <w:t>2</w:t>
      </w:r>
      <w:r w:rsidR="007122FD" w:rsidRPr="003427A6">
        <w:rPr>
          <w:rFonts w:ascii="Candara" w:hAnsi="Candara"/>
          <w:color w:val="0D0D0D" w:themeColor="text1" w:themeTint="F2"/>
        </w:rPr>
        <w:t xml:space="preserve">i increase </w:t>
      </w:r>
      <w:r w:rsidRPr="003427A6">
        <w:rPr>
          <w:rFonts w:ascii="Candara" w:hAnsi="Candara"/>
          <w:color w:val="0D0D0D" w:themeColor="text1" w:themeTint="F2"/>
        </w:rPr>
        <w:t>glucose</w:t>
      </w:r>
      <w:r w:rsidR="007122FD" w:rsidRPr="003427A6">
        <w:rPr>
          <w:rFonts w:ascii="Candara" w:hAnsi="Candara"/>
          <w:color w:val="0D0D0D" w:themeColor="text1" w:themeTint="F2"/>
        </w:rPr>
        <w:t xml:space="preserve"> excretion in the urine, causing increased calorie loss and thus body weight</w:t>
      </w:r>
      <w:r w:rsidRPr="003427A6">
        <w:rPr>
          <w:rFonts w:ascii="Candara" w:hAnsi="Candara"/>
          <w:color w:val="0D0D0D" w:themeColor="text1" w:themeTint="F2"/>
        </w:rPr>
        <w:t xml:space="preserve"> reduction, there is </w:t>
      </w:r>
      <w:r w:rsidR="007122FD" w:rsidRPr="003427A6">
        <w:rPr>
          <w:rFonts w:ascii="Candara" w:hAnsi="Candara"/>
          <w:color w:val="0D0D0D" w:themeColor="text1" w:themeTint="F2"/>
        </w:rPr>
        <w:t>less</w:t>
      </w:r>
      <w:r w:rsidRPr="003427A6">
        <w:rPr>
          <w:rFonts w:ascii="Candara" w:hAnsi="Candara"/>
          <w:color w:val="0D0D0D" w:themeColor="text1" w:themeTint="F2"/>
        </w:rPr>
        <w:t xml:space="preserve"> need for therapies that may </w:t>
      </w:r>
      <w:r w:rsidR="00175A18" w:rsidRPr="003427A6">
        <w:rPr>
          <w:rFonts w:ascii="Candara" w:hAnsi="Candara"/>
          <w:color w:val="0D0D0D" w:themeColor="text1" w:themeTint="F2"/>
        </w:rPr>
        <w:t>have no benefit on</w:t>
      </w:r>
      <w:r w:rsidRPr="003427A6">
        <w:rPr>
          <w:rFonts w:ascii="Candara" w:hAnsi="Candara"/>
          <w:color w:val="0D0D0D" w:themeColor="text1" w:themeTint="F2"/>
        </w:rPr>
        <w:t xml:space="preserve"> cardiovascular and renal risk such as oral hypoglycemic agents and insulin, respectively.  </w:t>
      </w:r>
      <w:r w:rsidR="00721FB3" w:rsidRPr="003427A6">
        <w:rPr>
          <w:rFonts w:ascii="Candara" w:hAnsi="Candara"/>
          <w:color w:val="0D0D0D" w:themeColor="text1" w:themeTint="F2"/>
        </w:rPr>
        <w:t>If we consider in context the pharmacologic inhibition of</w:t>
      </w:r>
      <w:r w:rsidR="007122FD" w:rsidRPr="003427A6">
        <w:rPr>
          <w:rFonts w:ascii="Candara" w:hAnsi="Candara"/>
          <w:color w:val="0D0D0D" w:themeColor="text1" w:themeTint="F2"/>
        </w:rPr>
        <w:t xml:space="preserve"> SGLT2</w:t>
      </w:r>
      <w:r w:rsidR="00721FB3" w:rsidRPr="003427A6">
        <w:rPr>
          <w:rFonts w:ascii="Candara" w:hAnsi="Candara"/>
          <w:color w:val="0D0D0D" w:themeColor="text1" w:themeTint="F2"/>
        </w:rPr>
        <w:t xml:space="preserve"> channels</w:t>
      </w:r>
      <w:r w:rsidR="007122FD" w:rsidRPr="003427A6">
        <w:rPr>
          <w:rFonts w:ascii="Candara" w:hAnsi="Candara"/>
          <w:color w:val="0D0D0D" w:themeColor="text1" w:themeTint="F2"/>
        </w:rPr>
        <w:t xml:space="preserve"> taken </w:t>
      </w:r>
      <w:r w:rsidRPr="003427A6">
        <w:rPr>
          <w:rFonts w:ascii="Candara" w:hAnsi="Candara"/>
          <w:color w:val="0D0D0D" w:themeColor="text1" w:themeTint="F2"/>
        </w:rPr>
        <w:t xml:space="preserve">as a sole mechanism, there is no parallel </w:t>
      </w:r>
      <w:r w:rsidR="00721FB3" w:rsidRPr="003427A6">
        <w:rPr>
          <w:rFonts w:ascii="Candara" w:hAnsi="Candara"/>
          <w:color w:val="0D0D0D" w:themeColor="text1" w:themeTint="F2"/>
        </w:rPr>
        <w:t xml:space="preserve">antidiabetic </w:t>
      </w:r>
      <w:r w:rsidRPr="003427A6">
        <w:rPr>
          <w:rFonts w:ascii="Candara" w:hAnsi="Candara"/>
          <w:color w:val="0D0D0D" w:themeColor="text1" w:themeTint="F2"/>
        </w:rPr>
        <w:t>agent that reduces hemoglobin A1c by ~0.5% and results in ~20-40% reductions in cardiovascular and renal events.</w:t>
      </w:r>
    </w:p>
    <w:p w14:paraId="3A1F1577" w14:textId="77777777" w:rsidR="00283EB3" w:rsidRPr="003427A6" w:rsidRDefault="00283EB3" w:rsidP="00283EB3">
      <w:pPr>
        <w:spacing w:line="360" w:lineRule="auto"/>
        <w:outlineLvl w:val="0"/>
        <w:rPr>
          <w:rFonts w:ascii="Candara" w:hAnsi="Candara"/>
          <w:color w:val="0D0D0D" w:themeColor="text1" w:themeTint="F2"/>
        </w:rPr>
      </w:pPr>
    </w:p>
    <w:p w14:paraId="2613757D" w14:textId="42F6E7DF" w:rsidR="00CB6DB8" w:rsidRPr="003427A6" w:rsidRDefault="00CB6DB8" w:rsidP="00CB6DB8">
      <w:pPr>
        <w:spacing w:line="360" w:lineRule="auto"/>
        <w:rPr>
          <w:rFonts w:ascii="Candara" w:hAnsi="Candara"/>
        </w:rPr>
      </w:pPr>
      <w:r w:rsidRPr="003427A6">
        <w:rPr>
          <w:rFonts w:ascii="Candara" w:hAnsi="Candara"/>
          <w:b/>
          <w:i/>
        </w:rPr>
        <w:lastRenderedPageBreak/>
        <w:t>Blood Pressure</w:t>
      </w:r>
      <w:r w:rsidR="006F2B1D" w:rsidRPr="003427A6">
        <w:rPr>
          <w:rFonts w:ascii="Candara" w:hAnsi="Candara"/>
          <w:b/>
          <w:i/>
        </w:rPr>
        <w:t xml:space="preserve"> </w:t>
      </w:r>
      <w:r w:rsidR="00E8605A" w:rsidRPr="003427A6">
        <w:rPr>
          <w:rFonts w:ascii="Candara" w:hAnsi="Candara"/>
          <w:b/>
          <w:i/>
        </w:rPr>
        <w:t>Control:</w:t>
      </w:r>
      <w:r w:rsidRPr="003427A6">
        <w:rPr>
          <w:rFonts w:ascii="Candara" w:hAnsi="Candara"/>
          <w:b/>
        </w:rPr>
        <w:t xml:space="preserve"> </w:t>
      </w:r>
      <w:r w:rsidR="00B145D6" w:rsidRPr="003427A6">
        <w:rPr>
          <w:rFonts w:ascii="Candara" w:hAnsi="Candara"/>
        </w:rPr>
        <w:t>SGLT2i t</w:t>
      </w:r>
      <w:r w:rsidRPr="003427A6">
        <w:rPr>
          <w:rFonts w:ascii="Candara" w:hAnsi="Candara"/>
        </w:rPr>
        <w:t>reatment is associated with reduction</w:t>
      </w:r>
      <w:r w:rsidR="00B145D6" w:rsidRPr="003427A6">
        <w:rPr>
          <w:rFonts w:ascii="Candara" w:hAnsi="Candara"/>
        </w:rPr>
        <w:t>s</w:t>
      </w:r>
      <w:r w:rsidRPr="003427A6">
        <w:rPr>
          <w:rFonts w:ascii="Candara" w:hAnsi="Candara"/>
        </w:rPr>
        <w:t xml:space="preserve"> in systolic and diastolic blood pressure. Unlike vasodilators, this change in blood pressure is not associated with an increase in heart rate, suggesting that the sympathetic nervous system is not activated</w:t>
      </w:r>
      <w:r w:rsidR="007D6404" w:rsidRPr="003427A6">
        <w:rPr>
          <w:rFonts w:ascii="Candara" w:hAnsi="Candara"/>
        </w:rPr>
        <w:t xml:space="preserve"> and that plasma volume is not persistently contracted</w:t>
      </w:r>
      <w:r w:rsidRPr="003427A6">
        <w:rPr>
          <w:rFonts w:ascii="Candara" w:hAnsi="Candara"/>
        </w:rPr>
        <w:t>.</w:t>
      </w:r>
      <w:r w:rsidR="007D6404" w:rsidRPr="003427A6">
        <w:rPr>
          <w:rStyle w:val="af8"/>
          <w:rFonts w:ascii="Candara" w:hAnsi="Candara"/>
        </w:rPr>
        <w:endnoteReference w:id="36"/>
      </w:r>
      <w:r w:rsidR="007D6404" w:rsidRPr="003427A6">
        <w:rPr>
          <w:rFonts w:ascii="Candara" w:hAnsi="Candara"/>
        </w:rPr>
        <w:t xml:space="preserve"> </w:t>
      </w:r>
      <w:r w:rsidR="007D6404" w:rsidRPr="003427A6">
        <w:rPr>
          <w:rStyle w:val="af8"/>
          <w:rFonts w:ascii="Candara" w:hAnsi="Candara"/>
        </w:rPr>
        <w:endnoteReference w:id="37"/>
      </w:r>
      <w:r w:rsidR="007D6404" w:rsidRPr="003427A6">
        <w:rPr>
          <w:rFonts w:ascii="Candara" w:hAnsi="Candara"/>
        </w:rPr>
        <w:t xml:space="preserve">  </w:t>
      </w:r>
      <w:r w:rsidRPr="003427A6">
        <w:rPr>
          <w:rFonts w:ascii="Candara" w:hAnsi="Candara"/>
        </w:rPr>
        <w:t xml:space="preserve">Reduction in blood pressure is likely multifactorial </w:t>
      </w:r>
      <w:r w:rsidR="00B145D6" w:rsidRPr="003427A6">
        <w:rPr>
          <w:rFonts w:ascii="Candara" w:hAnsi="Candara"/>
        </w:rPr>
        <w:t xml:space="preserve">and </w:t>
      </w:r>
      <w:r w:rsidRPr="003427A6">
        <w:rPr>
          <w:rFonts w:ascii="Candara" w:hAnsi="Candara"/>
        </w:rPr>
        <w:t>related to natriuresis,</w:t>
      </w:r>
      <w:r w:rsidR="00F77FFD" w:rsidRPr="003427A6">
        <w:rPr>
          <w:rFonts w:ascii="Candara" w:hAnsi="Candara"/>
        </w:rPr>
        <w:t xml:space="preserve"> non-fluid </w:t>
      </w:r>
      <w:r w:rsidRPr="003427A6">
        <w:rPr>
          <w:rFonts w:ascii="Candara" w:hAnsi="Candara"/>
        </w:rPr>
        <w:t>weight loss, as well as direct vascular effects</w:t>
      </w:r>
      <w:r w:rsidR="00F77FFD" w:rsidRPr="003427A6">
        <w:rPr>
          <w:rFonts w:ascii="Candara" w:hAnsi="Candara"/>
        </w:rPr>
        <w:t>.</w:t>
      </w:r>
      <w:r w:rsidR="000A2B0B" w:rsidRPr="003427A6">
        <w:rPr>
          <w:rStyle w:val="af8"/>
          <w:rFonts w:ascii="Candara" w:hAnsi="Candara"/>
        </w:rPr>
        <w:endnoteReference w:id="38"/>
      </w:r>
      <w:r w:rsidR="007D6404" w:rsidRPr="003427A6">
        <w:rPr>
          <w:rFonts w:ascii="Candara" w:hAnsi="Candara"/>
        </w:rPr>
        <w:t xml:space="preserve">  The blood pressure reduction of ~4 mmHg is </w:t>
      </w:r>
      <w:r w:rsidR="00B145D6" w:rsidRPr="003427A6">
        <w:rPr>
          <w:rFonts w:ascii="Candara" w:hAnsi="Candara"/>
        </w:rPr>
        <w:t>significant enough</w:t>
      </w:r>
      <w:r w:rsidR="007D6404" w:rsidRPr="003427A6">
        <w:rPr>
          <w:rFonts w:ascii="Candara" w:hAnsi="Candara"/>
        </w:rPr>
        <w:t xml:space="preserve"> to</w:t>
      </w:r>
      <w:r w:rsidR="00B145D6" w:rsidRPr="003427A6">
        <w:rPr>
          <w:rFonts w:ascii="Candara" w:hAnsi="Candara"/>
        </w:rPr>
        <w:t xml:space="preserve"> partly</w:t>
      </w:r>
      <w:r w:rsidR="007D6404" w:rsidRPr="003427A6">
        <w:rPr>
          <w:rFonts w:ascii="Candara" w:hAnsi="Candara"/>
        </w:rPr>
        <w:t xml:space="preserve"> influence both heart and kidney outcomes. This</w:t>
      </w:r>
      <w:r w:rsidR="00B145D6" w:rsidRPr="003427A6">
        <w:rPr>
          <w:rFonts w:ascii="Candara" w:hAnsi="Candara"/>
        </w:rPr>
        <w:t xml:space="preserve"> is</w:t>
      </w:r>
      <w:r w:rsidR="007D6404" w:rsidRPr="003427A6">
        <w:rPr>
          <w:rFonts w:ascii="Candara" w:hAnsi="Candara"/>
        </w:rPr>
        <w:t xml:space="preserve"> supported by the observation that </w:t>
      </w:r>
      <w:r w:rsidR="00B145D6" w:rsidRPr="003427A6">
        <w:rPr>
          <w:rFonts w:ascii="Candara" w:hAnsi="Candara"/>
        </w:rPr>
        <w:t>HF</w:t>
      </w:r>
      <w:r w:rsidR="007D6404" w:rsidRPr="003427A6">
        <w:rPr>
          <w:rFonts w:ascii="Candara" w:hAnsi="Candara"/>
        </w:rPr>
        <w:t xml:space="preserve"> was the most responsive endpoint to SG</w:t>
      </w:r>
      <w:r w:rsidR="00774013" w:rsidRPr="003427A6">
        <w:rPr>
          <w:rFonts w:ascii="Candara" w:hAnsi="Candara"/>
        </w:rPr>
        <w:t>L</w:t>
      </w:r>
      <w:r w:rsidR="007D6404" w:rsidRPr="003427A6">
        <w:rPr>
          <w:rFonts w:ascii="Candara" w:hAnsi="Candara"/>
        </w:rPr>
        <w:t>T2i</w:t>
      </w:r>
      <w:r w:rsidR="00B145D6" w:rsidRPr="003427A6">
        <w:rPr>
          <w:rFonts w:ascii="Candara" w:hAnsi="Candara"/>
        </w:rPr>
        <w:t>, which</w:t>
      </w:r>
      <w:r w:rsidR="007D6404" w:rsidRPr="003427A6">
        <w:rPr>
          <w:rFonts w:ascii="Candara" w:hAnsi="Candara"/>
        </w:rPr>
        <w:t xml:space="preserve"> is consistent with blood-pressure lowering trials.</w:t>
      </w:r>
      <w:r w:rsidR="00066EF6" w:rsidRPr="003427A6">
        <w:rPr>
          <w:rStyle w:val="af8"/>
          <w:rFonts w:ascii="Candara" w:hAnsi="Candara"/>
        </w:rPr>
        <w:endnoteReference w:id="39"/>
      </w:r>
    </w:p>
    <w:p w14:paraId="09198795" w14:textId="77777777" w:rsidR="00CB6DB8" w:rsidRPr="003427A6" w:rsidRDefault="00CB6DB8" w:rsidP="00FC4CE1">
      <w:pPr>
        <w:spacing w:line="360" w:lineRule="auto"/>
        <w:rPr>
          <w:rFonts w:ascii="Candara" w:hAnsi="Candara"/>
          <w:b/>
          <w:i/>
        </w:rPr>
      </w:pPr>
    </w:p>
    <w:p w14:paraId="4017ABBB" w14:textId="596EB307" w:rsidR="00587A17" w:rsidRPr="003427A6" w:rsidRDefault="00587A17" w:rsidP="001A025D">
      <w:pPr>
        <w:pStyle w:val="af0"/>
        <w:spacing w:line="360" w:lineRule="auto"/>
        <w:rPr>
          <w:rFonts w:ascii="Candara" w:hAnsi="Candara"/>
        </w:rPr>
      </w:pPr>
      <w:r w:rsidRPr="003427A6">
        <w:rPr>
          <w:rFonts w:ascii="Candara" w:hAnsi="Candara"/>
          <w:b/>
          <w:i/>
        </w:rPr>
        <w:t>Sodium and Fluid Loss:</w:t>
      </w:r>
      <w:r w:rsidRPr="003427A6">
        <w:rPr>
          <w:rFonts w:ascii="Candara" w:hAnsi="Candara"/>
        </w:rPr>
        <w:t xml:space="preserve"> SGLT2</w:t>
      </w:r>
      <w:r w:rsidR="000D18DC" w:rsidRPr="003427A6">
        <w:rPr>
          <w:rFonts w:ascii="Candara" w:hAnsi="Candara"/>
        </w:rPr>
        <w:t>i</w:t>
      </w:r>
      <w:r w:rsidRPr="003427A6">
        <w:rPr>
          <w:rFonts w:ascii="Candara" w:hAnsi="Candara"/>
        </w:rPr>
        <w:t xml:space="preserve"> induce osmotic diuresis and natriuresis through the decreased reabsorption of glucose and sodium, resulting in </w:t>
      </w:r>
      <w:r w:rsidR="000D18DC" w:rsidRPr="003427A6">
        <w:rPr>
          <w:rFonts w:ascii="Candara" w:hAnsi="Candara"/>
        </w:rPr>
        <w:t xml:space="preserve">decreased </w:t>
      </w:r>
      <w:r w:rsidR="00DC0D32" w:rsidRPr="003427A6">
        <w:rPr>
          <w:rFonts w:ascii="Candara" w:hAnsi="Candara"/>
        </w:rPr>
        <w:t xml:space="preserve">extracellular volume, </w:t>
      </w:r>
      <w:r w:rsidR="00244E3E" w:rsidRPr="003427A6">
        <w:rPr>
          <w:rFonts w:ascii="Candara" w:hAnsi="Candara"/>
        </w:rPr>
        <w:t>possible reduction of vascular</w:t>
      </w:r>
      <w:r w:rsidRPr="003427A6">
        <w:rPr>
          <w:rFonts w:ascii="Candara" w:hAnsi="Candara"/>
        </w:rPr>
        <w:t xml:space="preserve"> </w:t>
      </w:r>
      <w:r w:rsidR="00DE5FA4" w:rsidRPr="003427A6">
        <w:rPr>
          <w:rFonts w:ascii="Candara" w:hAnsi="Candara"/>
        </w:rPr>
        <w:t xml:space="preserve">wall stress, </w:t>
      </w:r>
      <w:r w:rsidRPr="003427A6">
        <w:rPr>
          <w:rFonts w:ascii="Candara" w:hAnsi="Candara"/>
        </w:rPr>
        <w:t>improv</w:t>
      </w:r>
      <w:r w:rsidR="000D18DC" w:rsidRPr="003427A6">
        <w:rPr>
          <w:rFonts w:ascii="Candara" w:hAnsi="Candara"/>
        </w:rPr>
        <w:t>ed</w:t>
      </w:r>
      <w:r w:rsidRPr="003427A6">
        <w:rPr>
          <w:rFonts w:ascii="Candara" w:hAnsi="Candara"/>
        </w:rPr>
        <w:t xml:space="preserve"> cardiac function and </w:t>
      </w:r>
      <w:r w:rsidR="009B282B" w:rsidRPr="003427A6">
        <w:rPr>
          <w:rFonts w:ascii="Candara" w:hAnsi="Candara"/>
        </w:rPr>
        <w:t xml:space="preserve">potentially </w:t>
      </w:r>
      <w:r w:rsidRPr="003427A6">
        <w:rPr>
          <w:rFonts w:ascii="Candara" w:hAnsi="Candara"/>
        </w:rPr>
        <w:t>reduc</w:t>
      </w:r>
      <w:r w:rsidR="000D18DC" w:rsidRPr="003427A6">
        <w:rPr>
          <w:rFonts w:ascii="Candara" w:hAnsi="Candara"/>
        </w:rPr>
        <w:t>ed</w:t>
      </w:r>
      <w:r w:rsidRPr="003427A6">
        <w:rPr>
          <w:rFonts w:ascii="Candara" w:hAnsi="Candara"/>
        </w:rPr>
        <w:t xml:space="preserve"> congestion.</w:t>
      </w:r>
      <w:r w:rsidR="007D6404" w:rsidRPr="003427A6">
        <w:rPr>
          <w:rStyle w:val="af8"/>
          <w:rFonts w:ascii="Candara" w:hAnsi="Candara"/>
        </w:rPr>
        <w:endnoteReference w:id="40"/>
      </w:r>
      <w:r w:rsidRPr="003427A6">
        <w:rPr>
          <w:rFonts w:ascii="Candara" w:hAnsi="Candara"/>
        </w:rPr>
        <w:t xml:space="preserve"> </w:t>
      </w:r>
      <w:r w:rsidR="000A2B0B" w:rsidRPr="003427A6">
        <w:rPr>
          <w:rFonts w:ascii="Candara" w:hAnsi="Candara"/>
        </w:rPr>
        <w:t>An initial r</w:t>
      </w:r>
      <w:r w:rsidRPr="003427A6">
        <w:rPr>
          <w:rFonts w:ascii="Candara" w:hAnsi="Candara"/>
        </w:rPr>
        <w:t xml:space="preserve">eduction in plasma volume may </w:t>
      </w:r>
      <w:r w:rsidR="00244E3E" w:rsidRPr="003427A6">
        <w:rPr>
          <w:rFonts w:ascii="Candara" w:hAnsi="Candara"/>
        </w:rPr>
        <w:t xml:space="preserve">also </w:t>
      </w:r>
      <w:r w:rsidRPr="003427A6">
        <w:rPr>
          <w:rFonts w:ascii="Candara" w:hAnsi="Candara"/>
        </w:rPr>
        <w:t>lead to reduced myocardial stretch and natriuretic pept</w:t>
      </w:r>
      <w:r w:rsidR="00B451FE" w:rsidRPr="003427A6">
        <w:rPr>
          <w:rFonts w:ascii="Candara" w:hAnsi="Candara"/>
        </w:rPr>
        <w:t>ide levels,</w:t>
      </w:r>
      <w:r w:rsidR="008D046E" w:rsidRPr="003427A6">
        <w:rPr>
          <w:rFonts w:ascii="Candara" w:hAnsi="Candara"/>
        </w:rPr>
        <w:t xml:space="preserve"> as well as improving</w:t>
      </w:r>
      <w:r w:rsidRPr="003427A6">
        <w:rPr>
          <w:rFonts w:ascii="Candara" w:hAnsi="Candara"/>
        </w:rPr>
        <w:t xml:space="preserve"> symptom and functional capacity.</w:t>
      </w:r>
      <w:r w:rsidR="000A2B0B" w:rsidRPr="003427A6">
        <w:rPr>
          <w:rStyle w:val="af8"/>
          <w:rFonts w:ascii="Candara" w:hAnsi="Candara"/>
        </w:rPr>
        <w:endnoteReference w:id="41"/>
      </w:r>
      <w:r w:rsidRPr="003427A6">
        <w:rPr>
          <w:rFonts w:ascii="Candara" w:hAnsi="Candara"/>
        </w:rPr>
        <w:t xml:space="preserve"> </w:t>
      </w:r>
      <w:r w:rsidR="00721FB3" w:rsidRPr="003427A6">
        <w:rPr>
          <w:rFonts w:ascii="Candara" w:hAnsi="Candara"/>
        </w:rPr>
        <w:t>SGLT2i have been shown to reduce the sodium content in skin which correlates with left ventricular mass.</w:t>
      </w:r>
      <w:r w:rsidR="00721FB3" w:rsidRPr="003427A6">
        <w:rPr>
          <w:rStyle w:val="af8"/>
          <w:rFonts w:ascii="Candara" w:hAnsi="Candara"/>
        </w:rPr>
        <w:endnoteReference w:id="42"/>
      </w:r>
      <w:r w:rsidR="00721FB3" w:rsidRPr="003427A6">
        <w:rPr>
          <w:rFonts w:ascii="Candara" w:hAnsi="Candara"/>
        </w:rPr>
        <w:t xml:space="preserve">  </w:t>
      </w:r>
      <w:r w:rsidR="00721FB3" w:rsidRPr="003427A6">
        <w:rPr>
          <w:rStyle w:val="af8"/>
          <w:rFonts w:ascii="Candara" w:hAnsi="Candara"/>
        </w:rPr>
        <w:endnoteReference w:id="43"/>
      </w:r>
      <w:r w:rsidR="00721FB3" w:rsidRPr="003427A6">
        <w:rPr>
          <w:rFonts w:ascii="Candara" w:hAnsi="Candara"/>
        </w:rPr>
        <w:t xml:space="preserve"> </w:t>
      </w:r>
      <w:r w:rsidR="000A2B0B" w:rsidRPr="003427A6">
        <w:rPr>
          <w:rFonts w:ascii="Candara" w:hAnsi="Candara"/>
        </w:rPr>
        <w:t>In clinical practice, there may be a reduction in the need for thiazide and loop diuretics, and as a result, less diuretic-induced activation of the renin-angiotensin system</w:t>
      </w:r>
      <w:r w:rsidR="00175A18" w:rsidRPr="003427A6">
        <w:rPr>
          <w:rFonts w:ascii="Candara" w:hAnsi="Candara"/>
        </w:rPr>
        <w:t>, hypokalemia, and metabolic alkalosis</w:t>
      </w:r>
      <w:r w:rsidR="000A2B0B" w:rsidRPr="003427A6">
        <w:rPr>
          <w:rFonts w:ascii="Candara" w:hAnsi="Candara"/>
        </w:rPr>
        <w:t xml:space="preserve">.  </w:t>
      </w:r>
      <w:bookmarkStart w:id="11" w:name="_Hlk2489630"/>
      <w:r w:rsidR="00AB2D6A" w:rsidRPr="003427A6">
        <w:rPr>
          <w:rFonts w:ascii="Candara" w:hAnsi="Candara"/>
        </w:rPr>
        <w:t xml:space="preserve">Unlike thiazide diuretics, </w:t>
      </w:r>
      <w:r w:rsidR="00DE5FA4" w:rsidRPr="003427A6">
        <w:rPr>
          <w:rFonts w:ascii="Candara" w:hAnsi="Candara"/>
        </w:rPr>
        <w:t>SGLT2</w:t>
      </w:r>
      <w:r w:rsidR="000A2B0B" w:rsidRPr="003427A6">
        <w:rPr>
          <w:rFonts w:ascii="Candara" w:hAnsi="Candara"/>
        </w:rPr>
        <w:t>i</w:t>
      </w:r>
      <w:r w:rsidR="00DE5FA4" w:rsidRPr="003427A6">
        <w:rPr>
          <w:rFonts w:ascii="Candara" w:hAnsi="Candara"/>
        </w:rPr>
        <w:t xml:space="preserve"> induce natriuresis </w:t>
      </w:r>
      <w:bookmarkEnd w:id="11"/>
      <w:r w:rsidR="00DE5FA4" w:rsidRPr="003427A6">
        <w:rPr>
          <w:rFonts w:ascii="Candara" w:hAnsi="Candara"/>
        </w:rPr>
        <w:t>as well as</w:t>
      </w:r>
      <w:r w:rsidRPr="003427A6">
        <w:rPr>
          <w:rFonts w:ascii="Candara" w:hAnsi="Candara"/>
        </w:rPr>
        <w:t xml:space="preserve"> osmotic diuresis via glucosuria</w:t>
      </w:r>
      <w:r w:rsidR="000A2B0B" w:rsidRPr="003427A6">
        <w:rPr>
          <w:rFonts w:ascii="Candara" w:hAnsi="Candara"/>
        </w:rPr>
        <w:t xml:space="preserve"> which may decline over time with lower daily plasma glucose levels and compensatory renal mechanisms for sodium reabsorption</w:t>
      </w:r>
      <w:r w:rsidR="00F77FFD" w:rsidRPr="003427A6">
        <w:rPr>
          <w:rFonts w:ascii="Candara" w:hAnsi="Candara"/>
        </w:rPr>
        <w:t>.</w:t>
      </w:r>
      <w:r w:rsidR="00EE1239" w:rsidRPr="003427A6">
        <w:rPr>
          <w:rFonts w:ascii="Candara" w:hAnsi="Candara"/>
        </w:rPr>
        <w:t xml:space="preserve">  </w:t>
      </w:r>
      <w:r w:rsidR="00AB2D6A" w:rsidRPr="003427A6">
        <w:rPr>
          <w:rFonts w:ascii="Candara" w:hAnsi="Candara"/>
        </w:rPr>
        <w:t>T</w:t>
      </w:r>
      <w:r w:rsidR="00EE1239" w:rsidRPr="003427A6">
        <w:rPr>
          <w:rFonts w:ascii="Candara" w:hAnsi="Candara"/>
        </w:rPr>
        <w:t>he</w:t>
      </w:r>
      <w:r w:rsidR="002B0294" w:rsidRPr="003427A6">
        <w:rPr>
          <w:rFonts w:ascii="Candara" w:hAnsi="Candara"/>
        </w:rPr>
        <w:t xml:space="preserve"> increase in sodium excretion</w:t>
      </w:r>
      <w:r w:rsidR="00EE1239" w:rsidRPr="003427A6">
        <w:rPr>
          <w:rFonts w:ascii="Candara" w:hAnsi="Candara"/>
        </w:rPr>
        <w:t xml:space="preserve"> with SGLT2i</w:t>
      </w:r>
      <w:r w:rsidR="002B0294" w:rsidRPr="003427A6">
        <w:rPr>
          <w:rFonts w:ascii="Candara" w:hAnsi="Candara"/>
        </w:rPr>
        <w:t xml:space="preserve"> </w:t>
      </w:r>
      <w:r w:rsidR="00AB2D6A" w:rsidRPr="003427A6">
        <w:rPr>
          <w:rFonts w:ascii="Candara" w:hAnsi="Candara"/>
        </w:rPr>
        <w:t xml:space="preserve">may be long-lasting having an </w:t>
      </w:r>
      <w:r w:rsidR="00EE1239" w:rsidRPr="003427A6">
        <w:rPr>
          <w:rFonts w:ascii="Candara" w:hAnsi="Candara"/>
        </w:rPr>
        <w:t>effect on blood pressure reduction in sustained and synergistic with other blood pressure lowering medication</w:t>
      </w:r>
      <w:r w:rsidR="00E73A23" w:rsidRPr="003427A6">
        <w:rPr>
          <w:rFonts w:ascii="Candara" w:hAnsi="Candara"/>
        </w:rPr>
        <w:t>,</w:t>
      </w:r>
      <w:r w:rsidR="00EE1239" w:rsidRPr="003427A6">
        <w:rPr>
          <w:rFonts w:ascii="Candara" w:hAnsi="Candara"/>
        </w:rPr>
        <w:t xml:space="preserve"> perhaps due to </w:t>
      </w:r>
      <w:r w:rsidR="002B0294" w:rsidRPr="003427A6">
        <w:rPr>
          <w:rFonts w:ascii="Candara" w:hAnsi="Candara"/>
        </w:rPr>
        <w:t>whole body sodium content</w:t>
      </w:r>
      <w:r w:rsidR="00F77FFD" w:rsidRPr="003427A6">
        <w:rPr>
          <w:rFonts w:ascii="Candara" w:hAnsi="Candara"/>
        </w:rPr>
        <w:t>.</w:t>
      </w:r>
      <w:r w:rsidR="00FA4530" w:rsidRPr="003427A6">
        <w:rPr>
          <w:rStyle w:val="af8"/>
          <w:rFonts w:ascii="Candara" w:hAnsi="Candara"/>
        </w:rPr>
        <w:endnoteReference w:id="44"/>
      </w:r>
      <w:r w:rsidR="00F77FFD" w:rsidRPr="003427A6">
        <w:rPr>
          <w:rFonts w:ascii="Candara" w:hAnsi="Candara"/>
        </w:rPr>
        <w:t xml:space="preserve"> </w:t>
      </w:r>
      <w:r w:rsidR="00FA4530" w:rsidRPr="003427A6">
        <w:rPr>
          <w:rFonts w:ascii="Candara" w:hAnsi="Candara"/>
        </w:rPr>
        <w:t xml:space="preserve"> While</w:t>
      </w:r>
      <w:r w:rsidR="00381EB7" w:rsidRPr="003427A6">
        <w:rPr>
          <w:rFonts w:ascii="Candara" w:hAnsi="Candara"/>
        </w:rPr>
        <w:t xml:space="preserve"> thiazides</w:t>
      </w:r>
      <w:r w:rsidR="00FA4530" w:rsidRPr="003427A6">
        <w:rPr>
          <w:rFonts w:ascii="Candara" w:hAnsi="Candara"/>
        </w:rPr>
        <w:t xml:space="preserve"> act on the distal convoluted tubule and</w:t>
      </w:r>
      <w:r w:rsidR="00381EB7" w:rsidRPr="003427A6">
        <w:rPr>
          <w:rFonts w:ascii="Candara" w:hAnsi="Candara"/>
        </w:rPr>
        <w:t xml:space="preserve"> are associated with hypokalemia</w:t>
      </w:r>
      <w:r w:rsidR="00343644" w:rsidRPr="003427A6">
        <w:rPr>
          <w:rFonts w:ascii="Candara" w:hAnsi="Candara"/>
        </w:rPr>
        <w:t>, increased serum uric acid, and impaired glucose tolerance</w:t>
      </w:r>
      <w:r w:rsidR="00FA4530" w:rsidRPr="003427A6">
        <w:rPr>
          <w:rFonts w:ascii="Candara" w:hAnsi="Candara"/>
        </w:rPr>
        <w:t xml:space="preserve">, </w:t>
      </w:r>
      <w:r w:rsidR="00343644" w:rsidRPr="003427A6">
        <w:rPr>
          <w:rFonts w:ascii="Candara" w:hAnsi="Candara"/>
        </w:rPr>
        <w:t>SGLT2</w:t>
      </w:r>
      <w:r w:rsidR="00FA4530" w:rsidRPr="003427A6">
        <w:rPr>
          <w:rFonts w:ascii="Candara" w:hAnsi="Candara"/>
        </w:rPr>
        <w:t>i</w:t>
      </w:r>
      <w:r w:rsidR="00343644" w:rsidRPr="003427A6">
        <w:rPr>
          <w:rFonts w:ascii="Candara" w:hAnsi="Candara"/>
        </w:rPr>
        <w:t xml:space="preserve"> </w:t>
      </w:r>
      <w:r w:rsidR="007D6404" w:rsidRPr="003427A6">
        <w:rPr>
          <w:rFonts w:ascii="Candara" w:hAnsi="Candara"/>
        </w:rPr>
        <w:t xml:space="preserve">act on the proximal renal tubule and </w:t>
      </w:r>
      <w:r w:rsidR="00343644" w:rsidRPr="003427A6">
        <w:rPr>
          <w:rFonts w:ascii="Candara" w:hAnsi="Candara"/>
        </w:rPr>
        <w:t xml:space="preserve">are associated with </w:t>
      </w:r>
      <w:r w:rsidR="00FA4530" w:rsidRPr="003427A6">
        <w:rPr>
          <w:rFonts w:ascii="Candara" w:hAnsi="Candara"/>
        </w:rPr>
        <w:t>reductions in serum u</w:t>
      </w:r>
      <w:r w:rsidR="00942C12" w:rsidRPr="003427A6">
        <w:rPr>
          <w:rFonts w:ascii="Candara" w:hAnsi="Candara"/>
        </w:rPr>
        <w:t xml:space="preserve">ric acid </w:t>
      </w:r>
      <w:r w:rsidR="00FA4530" w:rsidRPr="003427A6">
        <w:rPr>
          <w:rFonts w:ascii="Candara" w:hAnsi="Candara"/>
        </w:rPr>
        <w:t xml:space="preserve">and </w:t>
      </w:r>
      <w:r w:rsidR="006A371D" w:rsidRPr="003427A6">
        <w:rPr>
          <w:rFonts w:ascii="Candara" w:hAnsi="Candara"/>
        </w:rPr>
        <w:t>no</w:t>
      </w:r>
      <w:r w:rsidR="00343644" w:rsidRPr="003427A6">
        <w:rPr>
          <w:rFonts w:ascii="Candara" w:hAnsi="Candara"/>
        </w:rPr>
        <w:t xml:space="preserve"> change</w:t>
      </w:r>
      <w:r w:rsidR="00942C12" w:rsidRPr="003427A6">
        <w:rPr>
          <w:rFonts w:ascii="Candara" w:hAnsi="Candara"/>
        </w:rPr>
        <w:t>s</w:t>
      </w:r>
      <w:r w:rsidR="00343644" w:rsidRPr="003427A6">
        <w:rPr>
          <w:rFonts w:ascii="Candara" w:hAnsi="Candara"/>
        </w:rPr>
        <w:t xml:space="preserve"> </w:t>
      </w:r>
      <w:r w:rsidR="006A371D" w:rsidRPr="003427A6">
        <w:rPr>
          <w:rFonts w:ascii="Candara" w:hAnsi="Candara"/>
        </w:rPr>
        <w:t>in serum potassium</w:t>
      </w:r>
      <w:r w:rsidR="00381EB7" w:rsidRPr="003427A6">
        <w:rPr>
          <w:rFonts w:ascii="Candara" w:hAnsi="Candara"/>
        </w:rPr>
        <w:t>.</w:t>
      </w:r>
      <w:r w:rsidR="00FA4530" w:rsidRPr="003427A6">
        <w:rPr>
          <w:rStyle w:val="af8"/>
          <w:rFonts w:ascii="Candara" w:hAnsi="Candara"/>
        </w:rPr>
        <w:endnoteReference w:id="45"/>
      </w:r>
      <w:r w:rsidR="00FA4530" w:rsidRPr="003427A6">
        <w:rPr>
          <w:rFonts w:ascii="Candara" w:hAnsi="Candara"/>
        </w:rPr>
        <w:t xml:space="preserve">  In summary, the diuretic-like properties of SGLT2i appear to account for the blood pressure reductions seen </w:t>
      </w:r>
      <w:r w:rsidR="00FA4530" w:rsidRPr="003427A6">
        <w:rPr>
          <w:rFonts w:ascii="Candara" w:hAnsi="Candara"/>
        </w:rPr>
        <w:lastRenderedPageBreak/>
        <w:t>in T2</w:t>
      </w:r>
      <w:r w:rsidR="003C710B" w:rsidRPr="003427A6">
        <w:rPr>
          <w:rFonts w:ascii="Candara" w:hAnsi="Candara"/>
        </w:rPr>
        <w:t>D</w:t>
      </w:r>
      <w:r w:rsidR="00E73A23" w:rsidRPr="003427A6">
        <w:rPr>
          <w:rFonts w:ascii="Candara" w:hAnsi="Candara"/>
        </w:rPr>
        <w:t>M;</w:t>
      </w:r>
      <w:r w:rsidR="00FA4530" w:rsidRPr="003427A6">
        <w:rPr>
          <w:rFonts w:ascii="Candara" w:hAnsi="Candara"/>
        </w:rPr>
        <w:t xml:space="preserve"> however</w:t>
      </w:r>
      <w:r w:rsidR="00E73A23" w:rsidRPr="003427A6">
        <w:rPr>
          <w:rFonts w:ascii="Candara" w:hAnsi="Candara"/>
        </w:rPr>
        <w:t>.</w:t>
      </w:r>
      <w:r w:rsidR="00FA4530" w:rsidRPr="003427A6">
        <w:rPr>
          <w:rFonts w:ascii="Candara" w:hAnsi="Candara"/>
        </w:rPr>
        <w:t xml:space="preserve"> these effects do not appear to be substantial enough to account for the cardiorenal benefits of </w:t>
      </w:r>
      <w:r w:rsidR="0099096E" w:rsidRPr="003427A6">
        <w:rPr>
          <w:rFonts w:ascii="Candara" w:hAnsi="Candara"/>
        </w:rPr>
        <w:t xml:space="preserve">SGLT2i </w:t>
      </w:r>
      <w:r w:rsidR="00FA4530" w:rsidRPr="003427A6">
        <w:rPr>
          <w:rFonts w:ascii="Candara" w:hAnsi="Candara"/>
        </w:rPr>
        <w:t>in clinical trials.</w:t>
      </w:r>
    </w:p>
    <w:p w14:paraId="6D47A8B3" w14:textId="77777777" w:rsidR="00587A17" w:rsidRPr="003427A6" w:rsidRDefault="00587A17" w:rsidP="00FC4CE1">
      <w:pPr>
        <w:spacing w:line="360" w:lineRule="auto"/>
        <w:rPr>
          <w:rFonts w:ascii="Candara" w:hAnsi="Candara"/>
        </w:rPr>
      </w:pPr>
    </w:p>
    <w:p w14:paraId="48364AA3" w14:textId="72850EBE" w:rsidR="009B282B" w:rsidRPr="003427A6" w:rsidRDefault="00587A17" w:rsidP="009B282B">
      <w:pPr>
        <w:spacing w:line="360" w:lineRule="auto"/>
        <w:rPr>
          <w:rFonts w:ascii="Candara" w:hAnsi="Candara"/>
        </w:rPr>
      </w:pPr>
      <w:r w:rsidRPr="003427A6">
        <w:rPr>
          <w:rFonts w:ascii="Candara" w:hAnsi="Candara"/>
          <w:b/>
          <w:i/>
        </w:rPr>
        <w:t>Weight Loss</w:t>
      </w:r>
      <w:r w:rsidRPr="003427A6">
        <w:rPr>
          <w:rFonts w:ascii="Candara" w:hAnsi="Candara"/>
          <w:b/>
        </w:rPr>
        <w:t xml:space="preserve">: </w:t>
      </w:r>
      <w:bookmarkStart w:id="12" w:name="_Hlk535671732"/>
      <w:r w:rsidRPr="003427A6">
        <w:rPr>
          <w:rFonts w:ascii="Candara" w:hAnsi="Candara"/>
        </w:rPr>
        <w:t>SGLT2</w:t>
      </w:r>
      <w:r w:rsidR="001F56C0" w:rsidRPr="003427A6">
        <w:rPr>
          <w:rFonts w:ascii="Candara" w:hAnsi="Candara"/>
        </w:rPr>
        <w:t>i</w:t>
      </w:r>
      <w:r w:rsidRPr="003427A6">
        <w:rPr>
          <w:rFonts w:ascii="Candara" w:hAnsi="Candara"/>
        </w:rPr>
        <w:t xml:space="preserve"> are associated with</w:t>
      </w:r>
      <w:r w:rsidR="001F56C0" w:rsidRPr="003427A6">
        <w:rPr>
          <w:rFonts w:ascii="Candara" w:hAnsi="Candara"/>
        </w:rPr>
        <w:t xml:space="preserve"> modest</w:t>
      </w:r>
      <w:r w:rsidR="001B5953" w:rsidRPr="003427A6">
        <w:rPr>
          <w:rFonts w:ascii="Candara" w:hAnsi="Candara"/>
        </w:rPr>
        <w:t xml:space="preserve"> (1.8 kg)</w:t>
      </w:r>
      <w:r w:rsidRPr="003427A6">
        <w:rPr>
          <w:rFonts w:ascii="Candara" w:hAnsi="Candara"/>
        </w:rPr>
        <w:t xml:space="preserve"> </w:t>
      </w:r>
      <w:r w:rsidR="001B5953" w:rsidRPr="003427A6">
        <w:rPr>
          <w:rFonts w:ascii="Candara" w:hAnsi="Candara"/>
        </w:rPr>
        <w:t>short term</w:t>
      </w:r>
      <w:r w:rsidR="00D7151E" w:rsidRPr="003427A6">
        <w:rPr>
          <w:rFonts w:ascii="Candara" w:hAnsi="Candara"/>
        </w:rPr>
        <w:t xml:space="preserve"> but sustained</w:t>
      </w:r>
      <w:r w:rsidR="001B5953" w:rsidRPr="003427A6">
        <w:rPr>
          <w:rFonts w:ascii="Candara" w:hAnsi="Candara"/>
        </w:rPr>
        <w:t xml:space="preserve"> reductions </w:t>
      </w:r>
      <w:r w:rsidRPr="003427A6">
        <w:rPr>
          <w:rFonts w:ascii="Candara" w:hAnsi="Candara"/>
        </w:rPr>
        <w:t>in body weight</w:t>
      </w:r>
      <w:bookmarkEnd w:id="12"/>
      <w:r w:rsidRPr="003427A6">
        <w:rPr>
          <w:rFonts w:ascii="Candara" w:hAnsi="Candara"/>
        </w:rPr>
        <w:t>.</w:t>
      </w:r>
      <w:r w:rsidR="00614F57" w:rsidRPr="003427A6">
        <w:rPr>
          <w:rStyle w:val="af8"/>
          <w:rFonts w:ascii="Candara" w:hAnsi="Candara"/>
        </w:rPr>
        <w:endnoteReference w:id="46"/>
      </w:r>
      <w:r w:rsidR="00DE5FA4" w:rsidRPr="003427A6">
        <w:rPr>
          <w:rFonts w:ascii="Candara" w:hAnsi="Candara"/>
        </w:rPr>
        <w:t xml:space="preserve"> This</w:t>
      </w:r>
      <w:r w:rsidRPr="003427A6">
        <w:rPr>
          <w:rFonts w:ascii="Candara" w:hAnsi="Candara"/>
        </w:rPr>
        <w:t xml:space="preserve"> occurs rapidly initially </w:t>
      </w:r>
      <w:r w:rsidR="00614F57" w:rsidRPr="003427A6">
        <w:rPr>
          <w:rFonts w:ascii="Candara" w:hAnsi="Candara"/>
        </w:rPr>
        <w:t xml:space="preserve">with diuresis </w:t>
      </w:r>
      <w:r w:rsidRPr="003427A6">
        <w:rPr>
          <w:rFonts w:ascii="Candara" w:hAnsi="Candara"/>
        </w:rPr>
        <w:t xml:space="preserve">and then </w:t>
      </w:r>
      <w:r w:rsidR="001F56C0" w:rsidRPr="003427A6">
        <w:rPr>
          <w:rFonts w:ascii="Candara" w:hAnsi="Candara"/>
        </w:rPr>
        <w:t xml:space="preserve">is </w:t>
      </w:r>
      <w:r w:rsidRPr="003427A6">
        <w:rPr>
          <w:rFonts w:ascii="Candara" w:hAnsi="Candara"/>
        </w:rPr>
        <w:t>gradually</w:t>
      </w:r>
      <w:r w:rsidR="00614F57" w:rsidRPr="003427A6">
        <w:rPr>
          <w:rFonts w:ascii="Candara" w:hAnsi="Candara"/>
        </w:rPr>
        <w:t xml:space="preserve"> consistent with daily caloric losses of glucose in urine</w:t>
      </w:r>
      <w:r w:rsidRPr="003427A6">
        <w:rPr>
          <w:rFonts w:ascii="Candara" w:hAnsi="Candara"/>
        </w:rPr>
        <w:t xml:space="preserve"> until a plateau is reached</w:t>
      </w:r>
      <w:r w:rsidR="001F56C0" w:rsidRPr="003427A6">
        <w:rPr>
          <w:rFonts w:ascii="Candara" w:hAnsi="Candara"/>
        </w:rPr>
        <w:t>; the weight reduction</w:t>
      </w:r>
      <w:r w:rsidR="00244E3E" w:rsidRPr="003427A6">
        <w:rPr>
          <w:rFonts w:ascii="Candara" w:hAnsi="Candara"/>
        </w:rPr>
        <w:t xml:space="preserve"> is sustained over time</w:t>
      </w:r>
      <w:r w:rsidRPr="003427A6">
        <w:rPr>
          <w:rFonts w:ascii="Candara" w:hAnsi="Candara"/>
        </w:rPr>
        <w:t>.</w:t>
      </w:r>
      <w:r w:rsidR="00283EB3" w:rsidRPr="003427A6">
        <w:rPr>
          <w:rFonts w:ascii="Candara" w:hAnsi="Candara"/>
        </w:rPr>
        <w:t xml:space="preserve">  Outside of bariatric surgery </w:t>
      </w:r>
      <w:r w:rsidR="001F56C0" w:rsidRPr="003427A6">
        <w:rPr>
          <w:rFonts w:ascii="Candara" w:hAnsi="Candara"/>
        </w:rPr>
        <w:t xml:space="preserve">trials, which yield </w:t>
      </w:r>
      <w:r w:rsidR="00283EB3" w:rsidRPr="003427A6">
        <w:rPr>
          <w:rFonts w:ascii="Candara" w:hAnsi="Candara"/>
        </w:rPr>
        <w:t xml:space="preserve">large reductions in body weight, clinical trials attempting to reduce body weight and improve cardiovascular outcomes have been disappointing. </w:t>
      </w:r>
      <w:r w:rsidR="000A2C12" w:rsidRPr="003427A6">
        <w:rPr>
          <w:rFonts w:ascii="Candara" w:hAnsi="Candara"/>
        </w:rPr>
        <w:t xml:space="preserve"> A greater than 10% loss of body weight with medication</w:t>
      </w:r>
      <w:r w:rsidR="00B67E3E" w:rsidRPr="003427A6">
        <w:rPr>
          <w:rFonts w:ascii="Candara" w:hAnsi="Candara"/>
        </w:rPr>
        <w:t xml:space="preserve"> has been associated with reduction</w:t>
      </w:r>
      <w:r w:rsidR="00E73A23" w:rsidRPr="003427A6">
        <w:rPr>
          <w:rFonts w:ascii="Candara" w:hAnsi="Candara"/>
        </w:rPr>
        <w:t>s</w:t>
      </w:r>
      <w:r w:rsidR="00B67E3E" w:rsidRPr="003427A6">
        <w:rPr>
          <w:rFonts w:ascii="Candara" w:hAnsi="Candara"/>
        </w:rPr>
        <w:t xml:space="preserve"> in cardiovascular deaths and adverse cardiovascular outcomes in </w:t>
      </w:r>
      <w:r w:rsidR="000A2C12" w:rsidRPr="003427A6">
        <w:rPr>
          <w:rFonts w:ascii="Candara" w:hAnsi="Candara"/>
        </w:rPr>
        <w:t xml:space="preserve">patients with </w:t>
      </w:r>
      <w:r w:rsidR="00B67E3E" w:rsidRPr="003427A6">
        <w:rPr>
          <w:rFonts w:ascii="Candara" w:hAnsi="Candara"/>
        </w:rPr>
        <w:t xml:space="preserve">diabetes </w:t>
      </w:r>
      <w:r w:rsidR="000A2C12" w:rsidRPr="003427A6">
        <w:rPr>
          <w:rFonts w:ascii="Candara" w:hAnsi="Candara"/>
        </w:rPr>
        <w:t>over the long term.</w:t>
      </w:r>
      <w:r w:rsidR="000A2C12" w:rsidRPr="003427A6">
        <w:rPr>
          <w:rStyle w:val="af8"/>
          <w:rFonts w:ascii="Candara" w:hAnsi="Candara"/>
        </w:rPr>
        <w:endnoteReference w:id="47"/>
      </w:r>
      <w:r w:rsidR="00283EB3" w:rsidRPr="003427A6">
        <w:rPr>
          <w:rFonts w:ascii="Candara" w:hAnsi="Candara"/>
        </w:rPr>
        <w:t xml:space="preserve"> </w:t>
      </w:r>
      <w:r w:rsidR="000A2C12" w:rsidRPr="003427A6">
        <w:rPr>
          <w:rFonts w:ascii="Candara" w:hAnsi="Candara"/>
        </w:rPr>
        <w:t xml:space="preserve">  However, </w:t>
      </w:r>
      <w:r w:rsidR="00B67E3E" w:rsidRPr="003427A6">
        <w:rPr>
          <w:rFonts w:ascii="Candara" w:hAnsi="Candara"/>
        </w:rPr>
        <w:t>t</w:t>
      </w:r>
      <w:r w:rsidR="00283EB3" w:rsidRPr="003427A6">
        <w:rPr>
          <w:rFonts w:ascii="Candara" w:hAnsi="Candara"/>
        </w:rPr>
        <w:t>he modest ~2 kg</w:t>
      </w:r>
      <w:r w:rsidR="000A2C12" w:rsidRPr="003427A6">
        <w:rPr>
          <w:rFonts w:ascii="Candara" w:hAnsi="Candara"/>
        </w:rPr>
        <w:t xml:space="preserve"> (&lt;5%)</w:t>
      </w:r>
      <w:r w:rsidR="00283EB3" w:rsidRPr="003427A6">
        <w:rPr>
          <w:rFonts w:ascii="Candara" w:hAnsi="Candara"/>
        </w:rPr>
        <w:t xml:space="preserve"> reduction in body weight is unlikely to </w:t>
      </w:r>
      <w:r w:rsidR="00BE4CCD" w:rsidRPr="003427A6">
        <w:rPr>
          <w:rFonts w:ascii="Candara" w:hAnsi="Candara"/>
        </w:rPr>
        <w:t xml:space="preserve">completely account for the </w:t>
      </w:r>
      <w:r w:rsidR="00283EB3" w:rsidRPr="003427A6">
        <w:rPr>
          <w:rFonts w:ascii="Candara" w:hAnsi="Candara"/>
        </w:rPr>
        <w:t xml:space="preserve">large reductions in </w:t>
      </w:r>
      <w:r w:rsidR="001F56C0" w:rsidRPr="003427A6">
        <w:rPr>
          <w:rFonts w:ascii="Candara" w:hAnsi="Candara"/>
        </w:rPr>
        <w:t>HF</w:t>
      </w:r>
      <w:r w:rsidR="00283EB3" w:rsidRPr="003427A6">
        <w:rPr>
          <w:rFonts w:ascii="Candara" w:hAnsi="Candara"/>
        </w:rPr>
        <w:t>, cardiovascular death, and</w:t>
      </w:r>
      <w:r w:rsidR="00E73A23" w:rsidRPr="003427A6">
        <w:rPr>
          <w:rFonts w:ascii="Candara" w:hAnsi="Candara"/>
        </w:rPr>
        <w:t>/or</w:t>
      </w:r>
      <w:r w:rsidR="00283EB3" w:rsidRPr="003427A6">
        <w:rPr>
          <w:rFonts w:ascii="Candara" w:hAnsi="Candara"/>
        </w:rPr>
        <w:t xml:space="preserve"> progression of</w:t>
      </w:r>
      <w:r w:rsidR="003B191E" w:rsidRPr="003427A6">
        <w:rPr>
          <w:rFonts w:ascii="Candara" w:hAnsi="Candara"/>
        </w:rPr>
        <w:t xml:space="preserve"> chronic kidney disease</w:t>
      </w:r>
      <w:r w:rsidR="00283EB3" w:rsidRPr="003427A6">
        <w:rPr>
          <w:rFonts w:ascii="Candara" w:hAnsi="Candara"/>
        </w:rPr>
        <w:t xml:space="preserve"> </w:t>
      </w:r>
      <w:r w:rsidR="003B191E" w:rsidRPr="003427A6">
        <w:rPr>
          <w:rFonts w:ascii="Candara" w:hAnsi="Candara"/>
        </w:rPr>
        <w:t>(</w:t>
      </w:r>
      <w:r w:rsidR="00283EB3" w:rsidRPr="003427A6">
        <w:rPr>
          <w:rFonts w:ascii="Candara" w:hAnsi="Candara"/>
        </w:rPr>
        <w:t>CKD</w:t>
      </w:r>
      <w:r w:rsidR="003B191E" w:rsidRPr="003427A6">
        <w:rPr>
          <w:rFonts w:ascii="Candara" w:hAnsi="Candara"/>
        </w:rPr>
        <w:t>)</w:t>
      </w:r>
      <w:r w:rsidR="000A2C12" w:rsidRPr="003427A6">
        <w:rPr>
          <w:rFonts w:ascii="Candara" w:hAnsi="Candara"/>
        </w:rPr>
        <w:t xml:space="preserve"> observed</w:t>
      </w:r>
      <w:r w:rsidR="00283EB3" w:rsidRPr="003427A6">
        <w:rPr>
          <w:rFonts w:ascii="Candara" w:hAnsi="Candara"/>
        </w:rPr>
        <w:t xml:space="preserve"> in SGLT2i trials. </w:t>
      </w:r>
    </w:p>
    <w:p w14:paraId="44A577F1" w14:textId="77777777" w:rsidR="007D6404" w:rsidRPr="003427A6" w:rsidRDefault="007D6404" w:rsidP="007D6404">
      <w:pPr>
        <w:spacing w:line="360" w:lineRule="auto"/>
        <w:outlineLvl w:val="0"/>
        <w:rPr>
          <w:rFonts w:ascii="Candara" w:hAnsi="Candara"/>
          <w:b/>
          <w:color w:val="0D0D0D" w:themeColor="text1" w:themeTint="F2"/>
        </w:rPr>
      </w:pPr>
    </w:p>
    <w:p w14:paraId="033B4829" w14:textId="402DA9FD" w:rsidR="007D6404" w:rsidRPr="003427A6" w:rsidRDefault="00A06AAE" w:rsidP="007D6404">
      <w:pPr>
        <w:spacing w:line="360" w:lineRule="auto"/>
        <w:outlineLvl w:val="0"/>
        <w:rPr>
          <w:rFonts w:ascii="Candara" w:hAnsi="Candara"/>
          <w:b/>
          <w:caps/>
          <w:color w:val="0D0D0D" w:themeColor="text1" w:themeTint="F2"/>
        </w:rPr>
      </w:pPr>
      <w:r w:rsidRPr="003427A6">
        <w:rPr>
          <w:rFonts w:ascii="Candara" w:hAnsi="Candara"/>
          <w:b/>
          <w:caps/>
          <w:color w:val="0D0D0D" w:themeColor="text1" w:themeTint="F2"/>
        </w:rPr>
        <w:t xml:space="preserve">the Sodium–Proton </w:t>
      </w:r>
      <w:r w:rsidR="00AE65FA" w:rsidRPr="003427A6">
        <w:rPr>
          <w:rFonts w:ascii="Candara" w:hAnsi="Candara"/>
          <w:b/>
          <w:caps/>
          <w:color w:val="0D0D0D" w:themeColor="text1" w:themeTint="F2"/>
        </w:rPr>
        <w:t>antiporter</w:t>
      </w:r>
      <w:r w:rsidR="000A2C12" w:rsidRPr="003427A6">
        <w:rPr>
          <w:rFonts w:ascii="Candara" w:hAnsi="Candara"/>
          <w:b/>
          <w:caps/>
          <w:color w:val="0D0D0D" w:themeColor="text1" w:themeTint="F2"/>
        </w:rPr>
        <w:t xml:space="preserve"> (EXCHANger) CHANNELS</w:t>
      </w:r>
    </w:p>
    <w:p w14:paraId="367B0181" w14:textId="27F5925F" w:rsidR="00FA4530" w:rsidRPr="003427A6" w:rsidRDefault="00FA4530" w:rsidP="009B282B">
      <w:pPr>
        <w:spacing w:line="360" w:lineRule="auto"/>
        <w:rPr>
          <w:rFonts w:ascii="Candara" w:hAnsi="Candara"/>
        </w:rPr>
      </w:pPr>
    </w:p>
    <w:p w14:paraId="761C73AC" w14:textId="7D9FC083" w:rsidR="00AE65FA" w:rsidRPr="003427A6" w:rsidRDefault="00A06AAE" w:rsidP="00AE65FA">
      <w:pPr>
        <w:spacing w:line="360" w:lineRule="auto"/>
        <w:ind w:firstLine="720"/>
        <w:rPr>
          <w:rFonts w:ascii="Candara" w:hAnsi="Candara"/>
          <w:color w:val="0D0D0D" w:themeColor="text1" w:themeTint="F2"/>
        </w:rPr>
      </w:pPr>
      <w:r w:rsidRPr="003427A6">
        <w:rPr>
          <w:rFonts w:ascii="Candara" w:hAnsi="Candara"/>
          <w:color w:val="0D0D0D" w:themeColor="text1" w:themeTint="F2"/>
        </w:rPr>
        <w:t xml:space="preserve">There are </w:t>
      </w:r>
      <w:r w:rsidR="0074777F" w:rsidRPr="003427A6">
        <w:rPr>
          <w:rFonts w:ascii="Candara" w:hAnsi="Candara"/>
          <w:color w:val="0D0D0D" w:themeColor="text1" w:themeTint="F2"/>
        </w:rPr>
        <w:t>10</w:t>
      </w:r>
      <w:r w:rsidRPr="003427A6">
        <w:rPr>
          <w:rFonts w:ascii="Candara" w:hAnsi="Candara"/>
          <w:color w:val="0D0D0D" w:themeColor="text1" w:themeTint="F2"/>
        </w:rPr>
        <w:t xml:space="preserve"> described sodium-proton</w:t>
      </w:r>
      <w:r w:rsidR="009466A7" w:rsidRPr="003427A6">
        <w:rPr>
          <w:rFonts w:ascii="Candara" w:hAnsi="Candara"/>
          <w:color w:val="0D0D0D" w:themeColor="text1" w:themeTint="F2"/>
        </w:rPr>
        <w:t xml:space="preserve"> antiporters</w:t>
      </w:r>
      <w:r w:rsidRPr="003427A6">
        <w:rPr>
          <w:rFonts w:ascii="Candara" w:hAnsi="Candara"/>
          <w:color w:val="0D0D0D" w:themeColor="text1" w:themeTint="F2"/>
        </w:rPr>
        <w:t xml:space="preserve"> or sodium-hydrogen exchangers (NHE) in mammalian cells</w:t>
      </w:r>
      <w:r w:rsidR="001F56C0" w:rsidRPr="003427A6">
        <w:rPr>
          <w:rFonts w:ascii="Candara" w:hAnsi="Candara"/>
          <w:color w:val="0D0D0D" w:themeColor="text1" w:themeTint="F2"/>
        </w:rPr>
        <w:t xml:space="preserve"> (Table 1</w:t>
      </w:r>
      <w:r w:rsidR="005A7617" w:rsidRPr="003427A6">
        <w:rPr>
          <w:rFonts w:ascii="Candara" w:hAnsi="Candara"/>
          <w:color w:val="0D0D0D" w:themeColor="text1" w:themeTint="F2"/>
        </w:rPr>
        <w:t xml:space="preserve">, </w:t>
      </w:r>
      <w:r w:rsidR="005A7617" w:rsidRPr="003427A6">
        <w:rPr>
          <w:rFonts w:ascii="Candara" w:hAnsi="Candara"/>
        </w:rPr>
        <w:t xml:space="preserve">Figure </w:t>
      </w:r>
      <w:r w:rsidR="00C806BF" w:rsidRPr="003427A6">
        <w:rPr>
          <w:rFonts w:ascii="Candara" w:hAnsi="Candara"/>
        </w:rPr>
        <w:t>2</w:t>
      </w:r>
      <w:r w:rsidR="001F56C0" w:rsidRPr="003427A6">
        <w:rPr>
          <w:rFonts w:ascii="Candara" w:hAnsi="Candara"/>
        </w:rPr>
        <w:t>)</w:t>
      </w:r>
      <w:r w:rsidRPr="003427A6">
        <w:rPr>
          <w:rFonts w:ascii="Candara" w:hAnsi="Candara"/>
          <w:color w:val="0D0D0D" w:themeColor="text1" w:themeTint="F2"/>
        </w:rPr>
        <w:t>.</w:t>
      </w:r>
      <w:r w:rsidR="0074777F" w:rsidRPr="003427A6">
        <w:rPr>
          <w:rStyle w:val="af8"/>
          <w:rFonts w:ascii="Candara" w:hAnsi="Candara"/>
          <w:color w:val="0D0D0D" w:themeColor="text1" w:themeTint="F2"/>
        </w:rPr>
        <w:endnoteReference w:id="48"/>
      </w:r>
      <w:r w:rsidRPr="003427A6">
        <w:rPr>
          <w:rFonts w:ascii="Candara" w:hAnsi="Candara"/>
          <w:color w:val="0D0D0D" w:themeColor="text1" w:themeTint="F2"/>
        </w:rPr>
        <w:t xml:space="preserve">  These anti-porters exchange sodium </w:t>
      </w:r>
      <w:r w:rsidR="00D7151E" w:rsidRPr="003427A6">
        <w:rPr>
          <w:rFonts w:ascii="Candara" w:hAnsi="Candara"/>
          <w:color w:val="0D0D0D" w:themeColor="text1" w:themeTint="F2"/>
        </w:rPr>
        <w:t xml:space="preserve">for </w:t>
      </w:r>
      <w:r w:rsidRPr="003427A6">
        <w:rPr>
          <w:rFonts w:ascii="Candara" w:hAnsi="Candara"/>
          <w:color w:val="0D0D0D" w:themeColor="text1" w:themeTint="F2"/>
        </w:rPr>
        <w:t>protons and work to restore pH in the setting of intracellular accumulation of acid.  Additionally, there are NHE antiporters on the sarcolemmal membrane in cardiomyocytes which work as critical regulator</w:t>
      </w:r>
      <w:r w:rsidR="001F56C0" w:rsidRPr="003427A6">
        <w:rPr>
          <w:rFonts w:ascii="Candara" w:hAnsi="Candara"/>
          <w:color w:val="0D0D0D" w:themeColor="text1" w:themeTint="F2"/>
        </w:rPr>
        <w:t>s</w:t>
      </w:r>
      <w:r w:rsidRPr="003427A6">
        <w:rPr>
          <w:rFonts w:ascii="Candara" w:hAnsi="Candara"/>
          <w:color w:val="0D0D0D" w:themeColor="text1" w:themeTint="F2"/>
        </w:rPr>
        <w:t xml:space="preserve"> of sodium within the sarcolemma</w:t>
      </w:r>
      <w:r w:rsidR="007B4508" w:rsidRPr="003427A6">
        <w:rPr>
          <w:rFonts w:ascii="Candara" w:hAnsi="Candara"/>
          <w:color w:val="0D0D0D" w:themeColor="text1" w:themeTint="F2"/>
        </w:rPr>
        <w:t xml:space="preserve"> at the level of intercalated discs and T-tubules</w:t>
      </w:r>
      <w:r w:rsidRPr="003427A6">
        <w:rPr>
          <w:rFonts w:ascii="Candara" w:hAnsi="Candara"/>
          <w:color w:val="0D0D0D" w:themeColor="text1" w:themeTint="F2"/>
        </w:rPr>
        <w:t>.</w:t>
      </w:r>
      <w:r w:rsidR="00CA1AA3" w:rsidRPr="003427A6">
        <w:rPr>
          <w:rStyle w:val="af8"/>
          <w:rFonts w:ascii="Candara" w:hAnsi="Candara"/>
          <w:color w:val="0D0D0D" w:themeColor="text1" w:themeTint="F2"/>
        </w:rPr>
        <w:endnoteReference w:id="49"/>
      </w:r>
      <w:r w:rsidRPr="003427A6">
        <w:rPr>
          <w:rFonts w:ascii="Candara" w:hAnsi="Candara"/>
          <w:color w:val="0D0D0D" w:themeColor="text1" w:themeTint="F2"/>
        </w:rPr>
        <w:t xml:space="preserve"> </w:t>
      </w:r>
      <w:r w:rsidR="00B106AB" w:rsidRPr="003427A6">
        <w:rPr>
          <w:rFonts w:ascii="Candara" w:hAnsi="Candara"/>
        </w:rPr>
        <w:t>Increased intracellular concentration of sodium has been demonstrated to have deleterious effects on cardiomyocytes, altering the efficiency of calcium and hydrogen exchange.</w:t>
      </w:r>
      <w:r w:rsidR="00B106AB" w:rsidRPr="003427A6">
        <w:rPr>
          <w:rStyle w:val="af8"/>
          <w:rFonts w:ascii="Candara" w:hAnsi="Candara"/>
        </w:rPr>
        <w:endnoteReference w:id="50"/>
      </w:r>
      <w:r w:rsidR="00B106AB" w:rsidRPr="003427A6">
        <w:rPr>
          <w:rFonts w:ascii="Candara" w:hAnsi="Candara"/>
        </w:rPr>
        <w:t xml:space="preserve"> </w:t>
      </w:r>
      <w:r w:rsidR="00B106AB" w:rsidRPr="003427A6">
        <w:rPr>
          <w:rStyle w:val="af8"/>
          <w:rFonts w:ascii="Candara" w:hAnsi="Candara"/>
        </w:rPr>
        <w:endnoteReference w:id="51"/>
      </w:r>
      <w:r w:rsidR="00B106AB" w:rsidRPr="003427A6">
        <w:rPr>
          <w:rFonts w:ascii="Candara" w:hAnsi="Candara"/>
        </w:rPr>
        <w:t xml:space="preserve"> This increased intracellular sodium </w:t>
      </w:r>
      <w:r w:rsidR="000A2C12" w:rsidRPr="003427A6">
        <w:rPr>
          <w:rFonts w:ascii="Candara" w:hAnsi="Candara"/>
        </w:rPr>
        <w:t>tendency</w:t>
      </w:r>
      <w:r w:rsidR="00B106AB" w:rsidRPr="003427A6">
        <w:rPr>
          <w:rFonts w:ascii="Candara" w:hAnsi="Candara"/>
        </w:rPr>
        <w:t xml:space="preserve"> has been well demonstrated in myocardial hypertrophy and HF states, both acute and chronic.</w:t>
      </w:r>
      <w:r w:rsidRPr="003427A6">
        <w:rPr>
          <w:rFonts w:ascii="Candara" w:hAnsi="Candara"/>
        </w:rPr>
        <w:t xml:space="preserve"> </w:t>
      </w:r>
      <w:r w:rsidRPr="003427A6">
        <w:rPr>
          <w:rFonts w:ascii="Candara" w:hAnsi="Candara"/>
          <w:color w:val="0D0D0D" w:themeColor="text1" w:themeTint="F2"/>
        </w:rPr>
        <w:t xml:space="preserve">Isoforms of NHE and tissue types are shown in </w:t>
      </w:r>
      <w:r w:rsidR="00B106AB" w:rsidRPr="003427A6">
        <w:rPr>
          <w:rFonts w:ascii="Candara" w:hAnsi="Candara"/>
          <w:color w:val="0D0D0D" w:themeColor="text1" w:themeTint="F2"/>
        </w:rPr>
        <w:t>T</w:t>
      </w:r>
      <w:r w:rsidRPr="003427A6">
        <w:rPr>
          <w:rFonts w:ascii="Candara" w:hAnsi="Candara"/>
          <w:color w:val="0D0D0D" w:themeColor="text1" w:themeTint="F2"/>
        </w:rPr>
        <w:t>able</w:t>
      </w:r>
      <w:r w:rsidR="00B106AB" w:rsidRPr="003427A6">
        <w:rPr>
          <w:rFonts w:ascii="Candara" w:hAnsi="Candara"/>
          <w:color w:val="0D0D0D" w:themeColor="text1" w:themeTint="F2"/>
        </w:rPr>
        <w:t xml:space="preserve"> 1</w:t>
      </w:r>
      <w:r w:rsidRPr="003427A6">
        <w:rPr>
          <w:rFonts w:ascii="Candara" w:hAnsi="Candara"/>
          <w:color w:val="0D0D0D" w:themeColor="text1" w:themeTint="F2"/>
        </w:rPr>
        <w:t xml:space="preserve">. </w:t>
      </w:r>
      <w:r w:rsidR="00577C70" w:rsidRPr="003427A6">
        <w:rPr>
          <w:rFonts w:ascii="Candara" w:hAnsi="Candara"/>
          <w:color w:val="0D0D0D" w:themeColor="text1" w:themeTint="F2"/>
        </w:rPr>
        <w:t xml:space="preserve">  The NHE family has homology in structure to the SGLT family in terms of a funnel shape for sodium transport.</w:t>
      </w:r>
      <w:r w:rsidR="00577C70" w:rsidRPr="003427A6">
        <w:rPr>
          <w:rFonts w:ascii="Candara" w:hAnsi="Candara"/>
          <w:color w:val="0D0D0D" w:themeColor="text1" w:themeTint="F2"/>
        </w:rPr>
        <w:fldChar w:fldCharType="begin"/>
      </w:r>
      <w:r w:rsidR="00577C70" w:rsidRPr="003427A6">
        <w:rPr>
          <w:rFonts w:ascii="Candara" w:hAnsi="Candara"/>
          <w:color w:val="0D0D0D" w:themeColor="text1" w:themeTint="F2"/>
        </w:rPr>
        <w:instrText xml:space="preserve"> NOTEREF _Ref531095011 \f \h </w:instrText>
      </w:r>
      <w:r w:rsidR="00623475" w:rsidRPr="003427A6">
        <w:rPr>
          <w:rFonts w:ascii="Candara" w:hAnsi="Candara"/>
          <w:color w:val="0D0D0D" w:themeColor="text1" w:themeTint="F2"/>
        </w:rPr>
        <w:instrText xml:space="preserve"> \* MERGEFORMAT </w:instrText>
      </w:r>
      <w:r w:rsidR="00577C70" w:rsidRPr="003427A6">
        <w:rPr>
          <w:rFonts w:ascii="Candara" w:hAnsi="Candara"/>
          <w:color w:val="0D0D0D" w:themeColor="text1" w:themeTint="F2"/>
        </w:rPr>
      </w:r>
      <w:r w:rsidR="00577C70" w:rsidRPr="003427A6">
        <w:rPr>
          <w:rFonts w:ascii="Candara" w:hAnsi="Candara"/>
          <w:color w:val="0D0D0D" w:themeColor="text1" w:themeTint="F2"/>
        </w:rPr>
        <w:fldChar w:fldCharType="separate"/>
      </w:r>
      <w:r w:rsidR="00577C70" w:rsidRPr="003427A6">
        <w:rPr>
          <w:rStyle w:val="af8"/>
        </w:rPr>
        <w:t>39</w:t>
      </w:r>
      <w:r w:rsidR="00577C70" w:rsidRPr="003427A6">
        <w:rPr>
          <w:rFonts w:ascii="Candara" w:hAnsi="Candara"/>
          <w:color w:val="0D0D0D" w:themeColor="text1" w:themeTint="F2"/>
        </w:rPr>
        <w:fldChar w:fldCharType="end"/>
      </w:r>
      <w:r w:rsidRPr="003427A6">
        <w:rPr>
          <w:rFonts w:ascii="Candara" w:hAnsi="Candara"/>
          <w:color w:val="0D0D0D" w:themeColor="text1" w:themeTint="F2"/>
        </w:rPr>
        <w:t xml:space="preserve">  It is well established that reductions in intracellular and tissue pH occur in the setting of systemic </w:t>
      </w:r>
      <w:r w:rsidRPr="003427A6">
        <w:rPr>
          <w:rFonts w:ascii="Candara" w:hAnsi="Candara"/>
          <w:color w:val="0D0D0D" w:themeColor="text1" w:themeTint="F2"/>
        </w:rPr>
        <w:lastRenderedPageBreak/>
        <w:t>acidosis, hypoxia, and</w:t>
      </w:r>
      <w:r w:rsidR="001F56C0" w:rsidRPr="003427A6">
        <w:rPr>
          <w:rFonts w:ascii="Candara" w:hAnsi="Candara"/>
          <w:color w:val="0D0D0D" w:themeColor="text1" w:themeTint="F2"/>
        </w:rPr>
        <w:t>/</w:t>
      </w:r>
      <w:r w:rsidRPr="003427A6">
        <w:rPr>
          <w:rFonts w:ascii="Candara" w:hAnsi="Candara"/>
          <w:color w:val="0D0D0D" w:themeColor="text1" w:themeTint="F2"/>
        </w:rPr>
        <w:t>or tissue ischemi</w:t>
      </w:r>
      <w:r w:rsidR="001F56C0" w:rsidRPr="003427A6">
        <w:rPr>
          <w:rFonts w:ascii="Candara" w:hAnsi="Candara"/>
          <w:color w:val="0D0D0D" w:themeColor="text1" w:themeTint="F2"/>
        </w:rPr>
        <w:t>a</w:t>
      </w:r>
      <w:r w:rsidRPr="003427A6">
        <w:rPr>
          <w:rFonts w:ascii="Candara" w:hAnsi="Candara"/>
          <w:color w:val="0D0D0D" w:themeColor="text1" w:themeTint="F2"/>
        </w:rPr>
        <w:t xml:space="preserve"> due to impaired blood flow.  The rapid restoration of intracellular pH is </w:t>
      </w:r>
      <w:r w:rsidR="009466A7" w:rsidRPr="003427A6">
        <w:rPr>
          <w:rFonts w:ascii="Candara" w:hAnsi="Candara"/>
          <w:color w:val="0D0D0D" w:themeColor="text1" w:themeTint="F2"/>
        </w:rPr>
        <w:t>a normal function of all cells</w:t>
      </w:r>
      <w:r w:rsidR="00811B81" w:rsidRPr="003427A6">
        <w:rPr>
          <w:rFonts w:ascii="Candara" w:hAnsi="Candara"/>
          <w:color w:val="0D0D0D" w:themeColor="text1" w:themeTint="F2"/>
        </w:rPr>
        <w:t>, and when this process is impaired, it results in both gene activation and repression governing a variety of metabolic processes in cells know</w:t>
      </w:r>
      <w:r w:rsidR="001F56C0" w:rsidRPr="003427A6">
        <w:rPr>
          <w:rFonts w:ascii="Candara" w:hAnsi="Candara"/>
          <w:color w:val="0D0D0D" w:themeColor="text1" w:themeTint="F2"/>
        </w:rPr>
        <w:t>n</w:t>
      </w:r>
      <w:r w:rsidR="00811B81" w:rsidRPr="003427A6">
        <w:rPr>
          <w:rFonts w:ascii="Candara" w:hAnsi="Candara"/>
          <w:color w:val="0D0D0D" w:themeColor="text1" w:themeTint="F2"/>
        </w:rPr>
        <w:t xml:space="preserve"> as ischemic preconditioning.   In short, provided the exposure </w:t>
      </w:r>
      <w:r w:rsidR="007B6E70" w:rsidRPr="003427A6">
        <w:rPr>
          <w:rFonts w:ascii="Candara" w:hAnsi="Candara"/>
          <w:color w:val="0D0D0D" w:themeColor="text1" w:themeTint="F2"/>
        </w:rPr>
        <w:t xml:space="preserve">to </w:t>
      </w:r>
      <w:r w:rsidR="00811B81" w:rsidRPr="003427A6">
        <w:rPr>
          <w:rFonts w:ascii="Candara" w:hAnsi="Candara"/>
          <w:color w:val="0D0D0D" w:themeColor="text1" w:themeTint="F2"/>
        </w:rPr>
        <w:t>ischemia is sufficiently brief,</w:t>
      </w:r>
      <w:r w:rsidR="001F56C0" w:rsidRPr="003427A6">
        <w:rPr>
          <w:rFonts w:ascii="Candara" w:hAnsi="Candara"/>
          <w:color w:val="0D0D0D" w:themeColor="text1" w:themeTint="F2"/>
        </w:rPr>
        <w:t xml:space="preserve"> ischemic preconditioning</w:t>
      </w:r>
      <w:r w:rsidR="00811B81" w:rsidRPr="003427A6">
        <w:rPr>
          <w:rFonts w:ascii="Candara" w:hAnsi="Candara"/>
          <w:color w:val="0D0D0D" w:themeColor="text1" w:themeTint="F2"/>
        </w:rPr>
        <w:t xml:space="preserve"> improves the hardiness of cells to the </w:t>
      </w:r>
      <w:r w:rsidR="003C710B" w:rsidRPr="003427A6">
        <w:rPr>
          <w:rFonts w:ascii="Candara" w:hAnsi="Candara"/>
          <w:color w:val="0D0D0D" w:themeColor="text1" w:themeTint="F2"/>
        </w:rPr>
        <w:t xml:space="preserve">subsequent </w:t>
      </w:r>
      <w:r w:rsidR="00811B81" w:rsidRPr="003427A6">
        <w:rPr>
          <w:rFonts w:ascii="Candara" w:hAnsi="Candara"/>
          <w:color w:val="0D0D0D" w:themeColor="text1" w:themeTint="F2"/>
        </w:rPr>
        <w:t>bout of ischemia</w:t>
      </w:r>
      <w:r w:rsidR="001F56C0" w:rsidRPr="003427A6">
        <w:rPr>
          <w:rFonts w:ascii="Candara" w:hAnsi="Candara"/>
          <w:color w:val="0D0D0D" w:themeColor="text1" w:themeTint="F2"/>
        </w:rPr>
        <w:t>; NHE upregulation</w:t>
      </w:r>
      <w:r w:rsidR="00BE4CCD" w:rsidRPr="003427A6">
        <w:rPr>
          <w:rFonts w:ascii="Candara" w:hAnsi="Candara"/>
          <w:color w:val="0D0D0D" w:themeColor="text1" w:themeTint="F2"/>
        </w:rPr>
        <w:t xml:space="preserve"> occurs </w:t>
      </w:r>
      <w:r w:rsidR="00304B30" w:rsidRPr="003427A6">
        <w:rPr>
          <w:rFonts w:ascii="Candara" w:hAnsi="Candara"/>
          <w:color w:val="0D0D0D" w:themeColor="text1" w:themeTint="F2"/>
        </w:rPr>
        <w:t>ischemic preconditioning</w:t>
      </w:r>
      <w:r w:rsidR="00BE4CCD" w:rsidRPr="003427A6">
        <w:rPr>
          <w:rFonts w:ascii="Candara" w:hAnsi="Candara"/>
          <w:color w:val="0D0D0D" w:themeColor="text1" w:themeTint="F2"/>
        </w:rPr>
        <w:t xml:space="preserve"> as well as in many disease states</w:t>
      </w:r>
      <w:r w:rsidR="00304B30" w:rsidRPr="003427A6">
        <w:rPr>
          <w:rFonts w:ascii="Candara" w:hAnsi="Candara"/>
          <w:color w:val="0D0D0D" w:themeColor="text1" w:themeTint="F2"/>
        </w:rPr>
        <w:t>.</w:t>
      </w:r>
      <w:r w:rsidR="00811B81" w:rsidRPr="003427A6">
        <w:rPr>
          <w:rFonts w:ascii="Candara" w:hAnsi="Candara"/>
          <w:color w:val="0D0D0D" w:themeColor="text1" w:themeTint="F2"/>
        </w:rPr>
        <w:t xml:space="preserve">  These changes </w:t>
      </w:r>
      <w:r w:rsidR="00BE4CCD" w:rsidRPr="003427A6">
        <w:rPr>
          <w:rFonts w:ascii="Candara" w:hAnsi="Candara"/>
          <w:color w:val="0D0D0D" w:themeColor="text1" w:themeTint="F2"/>
        </w:rPr>
        <w:t>may modulate responses to</w:t>
      </w:r>
      <w:r w:rsidR="00811B81" w:rsidRPr="003427A6">
        <w:rPr>
          <w:rFonts w:ascii="Candara" w:hAnsi="Candara"/>
          <w:color w:val="0D0D0D" w:themeColor="text1" w:themeTint="F2"/>
        </w:rPr>
        <w:t xml:space="preserve"> infarction, apopto</w:t>
      </w:r>
      <w:r w:rsidR="00BE4CCD" w:rsidRPr="003427A6">
        <w:rPr>
          <w:rFonts w:ascii="Candara" w:hAnsi="Candara"/>
          <w:color w:val="0D0D0D" w:themeColor="text1" w:themeTint="F2"/>
        </w:rPr>
        <w:t>sis</w:t>
      </w:r>
      <w:r w:rsidR="00811B81" w:rsidRPr="003427A6">
        <w:rPr>
          <w:rFonts w:ascii="Candara" w:hAnsi="Candara"/>
          <w:color w:val="0D0D0D" w:themeColor="text1" w:themeTint="F2"/>
        </w:rPr>
        <w:t xml:space="preserve">, </w:t>
      </w:r>
      <w:r w:rsidR="00BE4CCD" w:rsidRPr="003427A6">
        <w:rPr>
          <w:rFonts w:ascii="Candara" w:hAnsi="Candara"/>
          <w:color w:val="0D0D0D" w:themeColor="text1" w:themeTint="F2"/>
        </w:rPr>
        <w:t>fibrosis</w:t>
      </w:r>
      <w:r w:rsidR="00811B81" w:rsidRPr="003427A6">
        <w:rPr>
          <w:rFonts w:ascii="Candara" w:hAnsi="Candara"/>
          <w:color w:val="0D0D0D" w:themeColor="text1" w:themeTint="F2"/>
        </w:rPr>
        <w:t xml:space="preserve">, and </w:t>
      </w:r>
      <w:r w:rsidR="00BE4CCD" w:rsidRPr="003427A6">
        <w:rPr>
          <w:rFonts w:ascii="Candara" w:hAnsi="Candara"/>
          <w:color w:val="0D0D0D" w:themeColor="text1" w:themeTint="F2"/>
        </w:rPr>
        <w:t xml:space="preserve">have been important for </w:t>
      </w:r>
      <w:r w:rsidR="00811B81" w:rsidRPr="003427A6">
        <w:rPr>
          <w:rFonts w:ascii="Candara" w:hAnsi="Candara"/>
          <w:color w:val="0D0D0D" w:themeColor="text1" w:themeTint="F2"/>
        </w:rPr>
        <w:t>drug development.</w:t>
      </w:r>
      <w:r w:rsidR="00811B81" w:rsidRPr="003427A6">
        <w:rPr>
          <w:rStyle w:val="af8"/>
          <w:rFonts w:ascii="Candara" w:hAnsi="Candara"/>
          <w:color w:val="0D0D0D" w:themeColor="text1" w:themeTint="F2"/>
        </w:rPr>
        <w:endnoteReference w:id="52"/>
      </w:r>
      <w:r w:rsidR="00811B81" w:rsidRPr="003427A6">
        <w:rPr>
          <w:rFonts w:ascii="Candara" w:hAnsi="Candara"/>
          <w:color w:val="0D0D0D" w:themeColor="text1" w:themeTint="F2"/>
        </w:rPr>
        <w:t xml:space="preserve">   </w:t>
      </w:r>
      <w:r w:rsidR="0074777F" w:rsidRPr="003427A6">
        <w:rPr>
          <w:rFonts w:ascii="Candara" w:hAnsi="Candara"/>
          <w:color w:val="0D0D0D" w:themeColor="text1" w:themeTint="F2"/>
        </w:rPr>
        <w:t>In the setting of chronic disease, NHE is upregulated and related to maladaptive processes including myocardial hypertrophy, sodium reabsorption,</w:t>
      </w:r>
      <w:r w:rsidR="000A2C12" w:rsidRPr="003427A6">
        <w:rPr>
          <w:rFonts w:ascii="Candara" w:hAnsi="Candara"/>
          <w:color w:val="0D0D0D" w:themeColor="text1" w:themeTint="F2"/>
        </w:rPr>
        <w:t xml:space="preserve"> intracellular sodium accumulation,</w:t>
      </w:r>
      <w:r w:rsidR="0074777F" w:rsidRPr="003427A6">
        <w:rPr>
          <w:rFonts w:ascii="Candara" w:hAnsi="Candara"/>
          <w:color w:val="0D0D0D" w:themeColor="text1" w:themeTint="F2"/>
        </w:rPr>
        <w:t xml:space="preserve"> and fluid retention.</w:t>
      </w:r>
      <w:bookmarkStart w:id="13" w:name="_Ref531095011"/>
      <w:r w:rsidR="00304B30" w:rsidRPr="003427A6">
        <w:rPr>
          <w:rStyle w:val="af8"/>
          <w:rFonts w:ascii="Candara" w:hAnsi="Candara"/>
          <w:color w:val="0D0D0D" w:themeColor="text1" w:themeTint="F2"/>
        </w:rPr>
        <w:endnoteReference w:id="53"/>
      </w:r>
      <w:bookmarkEnd w:id="13"/>
    </w:p>
    <w:p w14:paraId="404F33C1" w14:textId="4B25BBD2" w:rsidR="00AE65FA" w:rsidRPr="003427A6" w:rsidRDefault="00AE65FA" w:rsidP="00AE65FA">
      <w:pPr>
        <w:spacing w:line="360" w:lineRule="auto"/>
        <w:ind w:firstLine="720"/>
        <w:rPr>
          <w:rFonts w:ascii="Candara" w:hAnsi="Candara"/>
          <w:color w:val="0D0D0D" w:themeColor="text1" w:themeTint="F2"/>
        </w:rPr>
      </w:pPr>
    </w:p>
    <w:p w14:paraId="74BE93F1" w14:textId="02BDD635" w:rsidR="00AE65FA" w:rsidRPr="003427A6" w:rsidRDefault="00AE65FA" w:rsidP="00AE65FA">
      <w:pPr>
        <w:spacing w:line="360" w:lineRule="auto"/>
        <w:outlineLvl w:val="0"/>
        <w:rPr>
          <w:rFonts w:ascii="Candara" w:hAnsi="Candara"/>
          <w:b/>
          <w:caps/>
          <w:color w:val="0D0D0D" w:themeColor="text1" w:themeTint="F2"/>
        </w:rPr>
      </w:pPr>
      <w:r w:rsidRPr="003427A6">
        <w:rPr>
          <w:rFonts w:ascii="Candara" w:hAnsi="Candara"/>
          <w:b/>
          <w:caps/>
          <w:color w:val="0D0D0D" w:themeColor="text1" w:themeTint="F2"/>
        </w:rPr>
        <w:t>DRUGS THAT INHIBIT THE Sodium–Proton antiporter</w:t>
      </w:r>
      <w:r w:rsidR="00C5008F" w:rsidRPr="003427A6">
        <w:rPr>
          <w:rFonts w:ascii="Candara" w:hAnsi="Candara"/>
          <w:b/>
          <w:caps/>
          <w:color w:val="0D0D0D" w:themeColor="text1" w:themeTint="F2"/>
        </w:rPr>
        <w:t xml:space="preserve"> (EXHANGER)</w:t>
      </w:r>
    </w:p>
    <w:p w14:paraId="32C5038B" w14:textId="77777777" w:rsidR="00AE65FA" w:rsidRPr="003427A6" w:rsidRDefault="00AE65FA" w:rsidP="00AE65FA">
      <w:pPr>
        <w:spacing w:line="360" w:lineRule="auto"/>
        <w:ind w:firstLine="720"/>
        <w:rPr>
          <w:rFonts w:ascii="Candara" w:hAnsi="Candara"/>
          <w:color w:val="0D0D0D" w:themeColor="text1" w:themeTint="F2"/>
        </w:rPr>
      </w:pPr>
    </w:p>
    <w:p w14:paraId="1C951D8E" w14:textId="6B63FCF4" w:rsidR="00E86D0E" w:rsidRPr="003427A6" w:rsidRDefault="00811B81" w:rsidP="00AE65FA">
      <w:pPr>
        <w:spacing w:line="360" w:lineRule="auto"/>
        <w:ind w:firstLine="720"/>
        <w:rPr>
          <w:rFonts w:ascii="Candara" w:hAnsi="Candara"/>
        </w:rPr>
      </w:pPr>
      <w:r w:rsidRPr="003427A6">
        <w:rPr>
          <w:rFonts w:ascii="Candara" w:hAnsi="Candara"/>
          <w:color w:val="0D0D0D" w:themeColor="text1" w:themeTint="F2"/>
        </w:rPr>
        <w:t>The known and developed pharmacologic inhibitors of NHE include cariporide, zoniporide, r</w:t>
      </w:r>
      <w:r w:rsidR="00D01C0D" w:rsidRPr="003427A6">
        <w:rPr>
          <w:rFonts w:ascii="Candara" w:hAnsi="Candara"/>
          <w:color w:val="0D0D0D" w:themeColor="text1" w:themeTint="F2"/>
        </w:rPr>
        <w:t>i</w:t>
      </w:r>
      <w:r w:rsidRPr="003427A6">
        <w:rPr>
          <w:rFonts w:ascii="Candara" w:hAnsi="Candara"/>
          <w:color w:val="0D0D0D" w:themeColor="text1" w:themeTint="F2"/>
        </w:rPr>
        <w:t>m</w:t>
      </w:r>
      <w:r w:rsidR="00D01C0D" w:rsidRPr="003427A6">
        <w:rPr>
          <w:rFonts w:ascii="Candara" w:hAnsi="Candara"/>
          <w:color w:val="0D0D0D" w:themeColor="text1" w:themeTint="F2"/>
        </w:rPr>
        <w:t>e</w:t>
      </w:r>
      <w:r w:rsidRPr="003427A6">
        <w:rPr>
          <w:rFonts w:ascii="Candara" w:hAnsi="Candara"/>
          <w:color w:val="0D0D0D" w:themeColor="text1" w:themeTint="F2"/>
        </w:rPr>
        <w:t xml:space="preserve">poride, </w:t>
      </w:r>
      <w:r w:rsidR="007B6E70" w:rsidRPr="003427A6">
        <w:rPr>
          <w:rFonts w:ascii="Candara" w:hAnsi="Candara"/>
        </w:rPr>
        <w:t xml:space="preserve">eniporide, </w:t>
      </w:r>
      <w:r w:rsidR="00094952" w:rsidRPr="003427A6">
        <w:rPr>
          <w:rFonts w:ascii="Candara" w:hAnsi="Candara"/>
          <w:color w:val="0D0D0D" w:themeColor="text1" w:themeTint="F2"/>
        </w:rPr>
        <w:t>and</w:t>
      </w:r>
      <w:r w:rsidRPr="003427A6">
        <w:rPr>
          <w:rFonts w:ascii="Candara" w:hAnsi="Candara"/>
          <w:color w:val="0D0D0D" w:themeColor="text1" w:themeTint="F2"/>
        </w:rPr>
        <w:t xml:space="preserve"> the </w:t>
      </w:r>
      <w:r w:rsidR="000A2C12" w:rsidRPr="003427A6">
        <w:rPr>
          <w:rFonts w:ascii="Candara" w:hAnsi="Candara"/>
          <w:color w:val="0D0D0D" w:themeColor="text1" w:themeTint="F2"/>
        </w:rPr>
        <w:t xml:space="preserve">clinically utilized </w:t>
      </w:r>
      <w:r w:rsidRPr="003427A6">
        <w:rPr>
          <w:rFonts w:ascii="Candara" w:hAnsi="Candara"/>
          <w:color w:val="0D0D0D" w:themeColor="text1" w:themeTint="F2"/>
        </w:rPr>
        <w:t>diuretic</w:t>
      </w:r>
      <w:r w:rsidR="000A2C12" w:rsidRPr="003427A6">
        <w:rPr>
          <w:rFonts w:ascii="Candara" w:hAnsi="Candara"/>
          <w:color w:val="0D0D0D" w:themeColor="text1" w:themeTint="F2"/>
        </w:rPr>
        <w:t>,</w:t>
      </w:r>
      <w:r w:rsidRPr="003427A6">
        <w:rPr>
          <w:rFonts w:ascii="Candara" w:hAnsi="Candara"/>
          <w:color w:val="0D0D0D" w:themeColor="text1" w:themeTint="F2"/>
        </w:rPr>
        <w:t xml:space="preserve"> amiloride.  Cariporide</w:t>
      </w:r>
      <w:r w:rsidR="00E86D0E" w:rsidRPr="003427A6">
        <w:rPr>
          <w:rFonts w:ascii="Candara" w:hAnsi="Candara"/>
          <w:color w:val="0D0D0D" w:themeColor="text1" w:themeTint="F2"/>
        </w:rPr>
        <w:t xml:space="preserve"> (</w:t>
      </w:r>
      <w:r w:rsidR="001F56C0" w:rsidRPr="003427A6">
        <w:rPr>
          <w:rFonts w:ascii="Candara" w:hAnsi="Candara"/>
          <w:color w:val="0D0D0D" w:themeColor="text1" w:themeTint="F2"/>
        </w:rPr>
        <w:t xml:space="preserve">an </w:t>
      </w:r>
      <w:r w:rsidR="00E86D0E" w:rsidRPr="003427A6">
        <w:rPr>
          <w:rFonts w:ascii="Candara" w:hAnsi="Candara"/>
          <w:color w:val="0D0D0D" w:themeColor="text1" w:themeTint="F2"/>
        </w:rPr>
        <w:t>NHE1 inhibitor)</w:t>
      </w:r>
      <w:r w:rsidRPr="003427A6">
        <w:rPr>
          <w:rFonts w:ascii="Candara" w:hAnsi="Candara"/>
          <w:color w:val="0D0D0D" w:themeColor="text1" w:themeTint="F2"/>
        </w:rPr>
        <w:t xml:space="preserve"> was developed as an adjunct to cardiac revascularization</w:t>
      </w:r>
      <w:r w:rsidR="00EF4B69" w:rsidRPr="003427A6">
        <w:rPr>
          <w:rFonts w:ascii="Candara" w:hAnsi="Candara"/>
          <w:color w:val="0D0D0D" w:themeColor="text1" w:themeTint="F2"/>
        </w:rPr>
        <w:t xml:space="preserve"> with the intent of preventing intracellular calcium overload by NHE1 inhibition</w:t>
      </w:r>
      <w:r w:rsidR="001F56C0" w:rsidRPr="003427A6">
        <w:rPr>
          <w:rFonts w:ascii="Candara" w:hAnsi="Candara"/>
          <w:color w:val="0D0D0D" w:themeColor="text1" w:themeTint="F2"/>
        </w:rPr>
        <w:t>.</w:t>
      </w:r>
      <w:r w:rsidRPr="003427A6">
        <w:rPr>
          <w:rFonts w:ascii="Candara" w:hAnsi="Candara"/>
          <w:color w:val="0D0D0D" w:themeColor="text1" w:themeTint="F2"/>
        </w:rPr>
        <w:t xml:space="preserve"> </w:t>
      </w:r>
      <w:r w:rsidR="001F56C0" w:rsidRPr="003427A6">
        <w:rPr>
          <w:rFonts w:ascii="Candara" w:hAnsi="Candara"/>
          <w:color w:val="0D0D0D" w:themeColor="text1" w:themeTint="F2"/>
        </w:rPr>
        <w:t>I</w:t>
      </w:r>
      <w:r w:rsidR="00AE65FA" w:rsidRPr="003427A6">
        <w:rPr>
          <w:rFonts w:ascii="Candara" w:hAnsi="Candara"/>
          <w:color w:val="0D0D0D" w:themeColor="text1" w:themeTint="F2"/>
        </w:rPr>
        <w:t>n the Guard During Ischemia Against Necrosis (GUARDIAN) trial, 11,590 patients who were hospitalized for an acute coronary syndrome or undergoing high-risk percutaneous coronary intervention or coronary artery bypass grafting (CABG) were randomized to one of three doses of cariporide (20, 80, or 120 mg), or placebo, administered as a 60-minute infusion every 8 hours for two to seven days.</w:t>
      </w:r>
      <w:r w:rsidR="00AE65FA" w:rsidRPr="003427A6">
        <w:rPr>
          <w:rStyle w:val="af8"/>
          <w:rFonts w:ascii="Candara" w:hAnsi="Candara"/>
          <w:color w:val="0D0D0D" w:themeColor="text1" w:themeTint="F2"/>
        </w:rPr>
        <w:endnoteReference w:id="54"/>
      </w:r>
      <w:r w:rsidR="00AE65FA" w:rsidRPr="003427A6">
        <w:rPr>
          <w:rFonts w:ascii="Candara" w:hAnsi="Candara"/>
          <w:color w:val="0D0D0D" w:themeColor="text1" w:themeTint="F2"/>
        </w:rPr>
        <w:t xml:space="preserve"> </w:t>
      </w:r>
      <w:bookmarkStart w:id="14" w:name="_Hlk535672250"/>
      <w:r w:rsidR="00AE65FA" w:rsidRPr="003427A6">
        <w:rPr>
          <w:rFonts w:ascii="Candara" w:hAnsi="Candara"/>
          <w:color w:val="0D0D0D" w:themeColor="text1" w:themeTint="F2"/>
        </w:rPr>
        <w:t xml:space="preserve">At day 36, patients treated with cariporide 120 mg demonstrated a </w:t>
      </w:r>
      <w:r w:rsidR="00D7151E" w:rsidRPr="003427A6">
        <w:rPr>
          <w:rFonts w:ascii="Candara" w:hAnsi="Candara"/>
          <w:color w:val="0D0D0D" w:themeColor="text1" w:themeTint="F2"/>
        </w:rPr>
        <w:t xml:space="preserve">nonsignificant </w:t>
      </w:r>
      <w:r w:rsidR="00AE65FA" w:rsidRPr="003427A6">
        <w:rPr>
          <w:rFonts w:ascii="Candara" w:hAnsi="Candara"/>
          <w:color w:val="0D0D0D" w:themeColor="text1" w:themeTint="F2"/>
        </w:rPr>
        <w:t>10% risk reduction in</w:t>
      </w:r>
      <w:r w:rsidR="00D7151E" w:rsidRPr="003427A6">
        <w:rPr>
          <w:rFonts w:ascii="Candara" w:hAnsi="Candara"/>
          <w:color w:val="0D0D0D" w:themeColor="text1" w:themeTint="F2"/>
        </w:rPr>
        <w:t xml:space="preserve"> the primary endpoint of</w:t>
      </w:r>
      <w:r w:rsidR="00AE65FA" w:rsidRPr="003427A6">
        <w:rPr>
          <w:rFonts w:ascii="Candara" w:hAnsi="Candara"/>
          <w:color w:val="0D0D0D" w:themeColor="text1" w:themeTint="F2"/>
        </w:rPr>
        <w:t xml:space="preserve"> death or MI </w:t>
      </w:r>
      <w:bookmarkEnd w:id="14"/>
      <w:r w:rsidR="00AE65FA" w:rsidRPr="003427A6">
        <w:rPr>
          <w:rFonts w:ascii="Candara" w:hAnsi="Candara"/>
          <w:color w:val="0D0D0D" w:themeColor="text1" w:themeTint="F2"/>
        </w:rPr>
        <w:t xml:space="preserve">compared with placebo (p=0.12). At this dose, patients undergoing CABG experienced a 25% risk reduction in death or MI (p = 0.03), which was sustained through six months (p=0.033). The improvement resulted primarily from a 32% risk reduction in nonfatal MI (p=0.007).  </w:t>
      </w:r>
      <w:r w:rsidR="001F56C0" w:rsidRPr="003427A6">
        <w:rPr>
          <w:rFonts w:ascii="Candara" w:hAnsi="Candara"/>
          <w:color w:val="0D0D0D" w:themeColor="text1" w:themeTint="F2"/>
        </w:rPr>
        <w:t>C</w:t>
      </w:r>
      <w:r w:rsidR="00AE65FA" w:rsidRPr="003427A6">
        <w:rPr>
          <w:rFonts w:ascii="Candara" w:hAnsi="Candara"/>
          <w:color w:val="0D0D0D" w:themeColor="text1" w:themeTint="F2"/>
        </w:rPr>
        <w:t xml:space="preserve">ardiovascular benefit </w:t>
      </w:r>
      <w:r w:rsidR="001F56C0" w:rsidRPr="003427A6">
        <w:rPr>
          <w:rFonts w:ascii="Candara" w:hAnsi="Candara"/>
          <w:color w:val="0D0D0D" w:themeColor="text1" w:themeTint="F2"/>
        </w:rPr>
        <w:t>was associated with</w:t>
      </w:r>
      <w:r w:rsidR="00AE65FA" w:rsidRPr="003427A6">
        <w:rPr>
          <w:rFonts w:ascii="Candara" w:hAnsi="Candara"/>
          <w:color w:val="0D0D0D" w:themeColor="text1" w:themeTint="F2"/>
        </w:rPr>
        <w:t xml:space="preserve"> the degree to which creatine kinase isoenzyme</w:t>
      </w:r>
      <w:r w:rsidR="000A2C12" w:rsidRPr="003427A6">
        <w:rPr>
          <w:rFonts w:ascii="Candara" w:hAnsi="Candara"/>
          <w:color w:val="0D0D0D" w:themeColor="text1" w:themeTint="F2"/>
        </w:rPr>
        <w:t xml:space="preserve"> </w:t>
      </w:r>
      <w:r w:rsidR="00AE65FA" w:rsidRPr="003427A6">
        <w:rPr>
          <w:rFonts w:ascii="Candara" w:hAnsi="Candara"/>
          <w:color w:val="0D0D0D" w:themeColor="text1" w:themeTint="F2"/>
        </w:rPr>
        <w:t>excursions were attenuated by cariporide.  This very short-term exposure to a strong NHE in</w:t>
      </w:r>
      <w:r w:rsidR="00E86D0E" w:rsidRPr="003427A6">
        <w:rPr>
          <w:rFonts w:ascii="Candara" w:hAnsi="Candara"/>
          <w:color w:val="0D0D0D" w:themeColor="text1" w:themeTint="F2"/>
        </w:rPr>
        <w:t>hibitor suggested cardiovascular benefit, but unlike</w:t>
      </w:r>
      <w:r w:rsidR="003C710B" w:rsidRPr="003427A6">
        <w:rPr>
          <w:rFonts w:ascii="Candara" w:hAnsi="Candara"/>
          <w:color w:val="0D0D0D" w:themeColor="text1" w:themeTint="F2"/>
        </w:rPr>
        <w:t xml:space="preserve"> the</w:t>
      </w:r>
      <w:r w:rsidR="00E86D0E" w:rsidRPr="003427A6">
        <w:rPr>
          <w:rFonts w:ascii="Candara" w:hAnsi="Candara"/>
          <w:color w:val="0D0D0D" w:themeColor="text1" w:themeTint="F2"/>
        </w:rPr>
        <w:t xml:space="preserve"> SGLT2i</w:t>
      </w:r>
      <w:r w:rsidR="003C710B" w:rsidRPr="003427A6">
        <w:rPr>
          <w:rFonts w:ascii="Candara" w:hAnsi="Candara"/>
          <w:color w:val="0D0D0D" w:themeColor="text1" w:themeTint="F2"/>
        </w:rPr>
        <w:t xml:space="preserve"> trials,</w:t>
      </w:r>
      <w:r w:rsidR="00E86D0E" w:rsidRPr="003427A6">
        <w:rPr>
          <w:rFonts w:ascii="Candara" w:hAnsi="Candara"/>
          <w:color w:val="0D0D0D" w:themeColor="text1" w:themeTint="F2"/>
        </w:rPr>
        <w:t xml:space="preserve"> there was not a long period of exposure </w:t>
      </w:r>
      <w:r w:rsidR="00E86D0E" w:rsidRPr="003427A6">
        <w:rPr>
          <w:rFonts w:ascii="Candara" w:hAnsi="Candara"/>
          <w:color w:val="0D0D0D" w:themeColor="text1" w:themeTint="F2"/>
        </w:rPr>
        <w:lastRenderedPageBreak/>
        <w:t xml:space="preserve">and there was a limited opportunity to characterize other changes such as blood pressure or changes in renal function/albuminuria.  </w:t>
      </w:r>
      <w:r w:rsidR="007B6E70" w:rsidRPr="003427A6">
        <w:rPr>
          <w:rFonts w:ascii="Candara" w:hAnsi="Candara"/>
        </w:rPr>
        <w:t>In contrast, the</w:t>
      </w:r>
      <w:r w:rsidR="00094952" w:rsidRPr="003427A6">
        <w:rPr>
          <w:rFonts w:ascii="Candara" w:hAnsi="Candara"/>
        </w:rPr>
        <w:t xml:space="preserve"> phase 2 placebo-controlled</w:t>
      </w:r>
      <w:r w:rsidR="007B6E70" w:rsidRPr="003427A6">
        <w:rPr>
          <w:rFonts w:ascii="Candara" w:hAnsi="Candara"/>
        </w:rPr>
        <w:t xml:space="preserve"> Evaluation of the Safety and Cardioprotective Effects of Eniporide</w:t>
      </w:r>
      <w:r w:rsidR="0000095A" w:rsidRPr="003427A6">
        <w:rPr>
          <w:rFonts w:ascii="Candara" w:hAnsi="Candara"/>
        </w:rPr>
        <w:t xml:space="preserve"> in Acute Myocardial Infarction (ESCAMI) </w:t>
      </w:r>
      <w:r w:rsidR="00094952" w:rsidRPr="003427A6">
        <w:rPr>
          <w:rFonts w:ascii="Candara" w:hAnsi="Candara"/>
        </w:rPr>
        <w:t>trial</w:t>
      </w:r>
      <w:r w:rsidR="007B6E70" w:rsidRPr="003427A6">
        <w:rPr>
          <w:rFonts w:ascii="Candara" w:hAnsi="Candara"/>
        </w:rPr>
        <w:t xml:space="preserve"> failed show reductions in cumulative cardiac enzyme release when administered close to thrombolysis or percutaneous coronary intervention in acute myocardial infarction.</w:t>
      </w:r>
      <w:r w:rsidR="007B6E70" w:rsidRPr="003427A6">
        <w:rPr>
          <w:rStyle w:val="af8"/>
          <w:rFonts w:ascii="Candara" w:hAnsi="Candara"/>
        </w:rPr>
        <w:endnoteReference w:id="55"/>
      </w:r>
      <w:r w:rsidR="005B3EAA" w:rsidRPr="003427A6">
        <w:rPr>
          <w:rFonts w:ascii="Candara" w:hAnsi="Candara"/>
        </w:rPr>
        <w:t xml:space="preserve">  An interpretation of GAURDIAN and ESCAMI pointed out that NHE1 inhibition would need to be pharmacologically present before the ischemic insult and additionally, there would need to be prompt reperfusion in order to have benefit of this mechanism of action.</w:t>
      </w:r>
      <w:r w:rsidR="005B3EAA" w:rsidRPr="003427A6">
        <w:rPr>
          <w:rStyle w:val="af8"/>
          <w:rFonts w:ascii="Candara" w:hAnsi="Candara"/>
        </w:rPr>
        <w:endnoteReference w:id="56"/>
      </w:r>
      <w:r w:rsidR="005B3EAA" w:rsidRPr="003427A6">
        <w:rPr>
          <w:rFonts w:ascii="Candara" w:hAnsi="Candara"/>
        </w:rPr>
        <w:t xml:space="preserve">  These principles would explain the disparate results of these trials and would also support the concept that long-term daily NHE1 inhibition would have a rationale as a myocardial protectant for bouts of ischemia.</w:t>
      </w:r>
    </w:p>
    <w:p w14:paraId="217F8EA9" w14:textId="71260EF2" w:rsidR="00A06AAE" w:rsidRPr="003427A6" w:rsidRDefault="00E86D0E" w:rsidP="00F54D57">
      <w:pPr>
        <w:spacing w:line="360" w:lineRule="auto"/>
        <w:ind w:firstLine="720"/>
        <w:rPr>
          <w:rFonts w:ascii="Candara" w:hAnsi="Candara"/>
          <w:color w:val="0D0D0D" w:themeColor="text1" w:themeTint="F2"/>
        </w:rPr>
      </w:pPr>
      <w:r w:rsidRPr="003427A6">
        <w:rPr>
          <w:rFonts w:ascii="Candara" w:hAnsi="Candara"/>
          <w:color w:val="0D0D0D" w:themeColor="text1" w:themeTint="F2"/>
        </w:rPr>
        <w:t>Zoniporide is a parental NHE1 antagonist that in clinical models had a similar ischemic-protective effect as cariporide.</w:t>
      </w:r>
      <w:r w:rsidRPr="003427A6">
        <w:rPr>
          <w:rStyle w:val="af8"/>
          <w:rFonts w:ascii="Candara" w:hAnsi="Candara"/>
          <w:color w:val="0D0D0D" w:themeColor="text1" w:themeTint="F2"/>
        </w:rPr>
        <w:endnoteReference w:id="57"/>
      </w:r>
      <w:r w:rsidR="00AE65FA" w:rsidRPr="003427A6">
        <w:rPr>
          <w:rFonts w:ascii="Candara" w:hAnsi="Candara"/>
          <w:color w:val="0D0D0D" w:themeColor="text1" w:themeTint="F2"/>
        </w:rPr>
        <w:t xml:space="preserve"> </w:t>
      </w:r>
      <w:r w:rsidR="001920CF" w:rsidRPr="003427A6">
        <w:rPr>
          <w:rFonts w:ascii="Candara" w:hAnsi="Candara"/>
          <w:color w:val="0D0D0D" w:themeColor="text1" w:themeTint="F2"/>
        </w:rPr>
        <w:t>In a pig model of cardiac arrest, z</w:t>
      </w:r>
      <w:r w:rsidR="00F54D57" w:rsidRPr="003427A6">
        <w:rPr>
          <w:rFonts w:ascii="Candara" w:hAnsi="Candara"/>
          <w:color w:val="0D0D0D" w:themeColor="text1" w:themeTint="F2"/>
        </w:rPr>
        <w:t>oniporide prevented reductions in left ventricular myocardial distensibility during the interval of cardiac arrest and extracorporeal circulation.</w:t>
      </w:r>
      <w:r w:rsidR="00245BB4" w:rsidRPr="003427A6">
        <w:rPr>
          <w:rFonts w:ascii="Candara" w:hAnsi="Candara"/>
          <w:color w:val="0D0D0D" w:themeColor="text1" w:themeTint="F2"/>
        </w:rPr>
        <w:t xml:space="preserve">  Additionally, zoniporide was resulted in greater effectiveness in termination and prevention of </w:t>
      </w:r>
      <w:r w:rsidR="002E6EC9" w:rsidRPr="003427A6">
        <w:rPr>
          <w:rFonts w:ascii="Candara" w:hAnsi="Candara"/>
          <w:color w:val="0D0D0D" w:themeColor="text1" w:themeTint="F2"/>
        </w:rPr>
        <w:t>recurrent</w:t>
      </w:r>
      <w:r w:rsidR="00245BB4" w:rsidRPr="003427A6">
        <w:rPr>
          <w:rFonts w:ascii="Candara" w:hAnsi="Candara"/>
          <w:color w:val="0D0D0D" w:themeColor="text1" w:themeTint="F2"/>
        </w:rPr>
        <w:t xml:space="preserve"> ventricular fibrillation.</w:t>
      </w:r>
      <w:r w:rsidR="00F54D57" w:rsidRPr="003427A6">
        <w:rPr>
          <w:rFonts w:ascii="Candara" w:hAnsi="Candara"/>
          <w:color w:val="0D0D0D" w:themeColor="text1" w:themeTint="F2"/>
        </w:rPr>
        <w:t xml:space="preserve">  These energy effects are consistent with NHE-1 inhibition protecting mitochondrial bioenergetic function</w:t>
      </w:r>
      <w:r w:rsidR="001920CF" w:rsidRPr="003427A6">
        <w:rPr>
          <w:rFonts w:ascii="Candara" w:hAnsi="Candara"/>
          <w:color w:val="0D0D0D" w:themeColor="text1" w:themeTint="F2"/>
        </w:rPr>
        <w:t xml:space="preserve"> and limiting </w:t>
      </w:r>
      <w:r w:rsidR="00F54D57" w:rsidRPr="003427A6">
        <w:rPr>
          <w:rFonts w:ascii="Candara" w:hAnsi="Candara"/>
          <w:color w:val="0D0D0D" w:themeColor="text1" w:themeTint="F2"/>
        </w:rPr>
        <w:t>Ca2+ overload</w:t>
      </w:r>
      <w:r w:rsidR="001920CF" w:rsidRPr="003427A6">
        <w:rPr>
          <w:rFonts w:ascii="Candara" w:hAnsi="Candara"/>
          <w:color w:val="0D0D0D" w:themeColor="text1" w:themeTint="F2"/>
        </w:rPr>
        <w:t>.</w:t>
      </w:r>
      <w:r w:rsidR="001920CF" w:rsidRPr="003427A6">
        <w:rPr>
          <w:rStyle w:val="af8"/>
          <w:rFonts w:ascii="Candara" w:hAnsi="Candara"/>
          <w:color w:val="0D0D0D" w:themeColor="text1" w:themeTint="F2"/>
        </w:rPr>
        <w:endnoteReference w:id="58"/>
      </w:r>
      <w:r w:rsidR="00F54D57" w:rsidRPr="003427A6">
        <w:rPr>
          <w:rFonts w:ascii="Candara" w:hAnsi="Candara"/>
          <w:color w:val="0D0D0D" w:themeColor="text1" w:themeTint="F2"/>
        </w:rPr>
        <w:t xml:space="preserve"> </w:t>
      </w:r>
      <w:r w:rsidR="00CA1AA3" w:rsidRPr="003427A6">
        <w:rPr>
          <w:rStyle w:val="af8"/>
          <w:rFonts w:ascii="Candara" w:hAnsi="Candara"/>
          <w:color w:val="0D0D0D" w:themeColor="text1" w:themeTint="F2"/>
        </w:rPr>
        <w:endnoteReference w:id="59"/>
      </w:r>
      <w:r w:rsidR="00F54D57" w:rsidRPr="003427A6">
        <w:rPr>
          <w:rFonts w:ascii="Candara" w:hAnsi="Candara"/>
          <w:color w:val="0D0D0D" w:themeColor="text1" w:themeTint="F2"/>
        </w:rPr>
        <w:t xml:space="preserve"> </w:t>
      </w:r>
      <w:r w:rsidRPr="003427A6">
        <w:rPr>
          <w:rFonts w:ascii="Candara" w:hAnsi="Candara"/>
          <w:color w:val="0D0D0D" w:themeColor="text1" w:themeTint="F2"/>
        </w:rPr>
        <w:t xml:space="preserve">Rimeporide is an oral NHE1 inhibitor being </w:t>
      </w:r>
      <w:r w:rsidR="00D005CE" w:rsidRPr="003427A6">
        <w:rPr>
          <w:rFonts w:ascii="Candara" w:hAnsi="Candara"/>
          <w:color w:val="0D0D0D" w:themeColor="text1" w:themeTint="F2"/>
        </w:rPr>
        <w:t xml:space="preserve">tested in Duchenne’s muscular dystrophy (Rimeporide in Patients </w:t>
      </w:r>
      <w:r w:rsidR="00E8605A" w:rsidRPr="003427A6">
        <w:rPr>
          <w:rFonts w:ascii="Candara" w:hAnsi="Candara"/>
          <w:color w:val="0D0D0D" w:themeColor="text1" w:themeTint="F2"/>
        </w:rPr>
        <w:t>with</w:t>
      </w:r>
      <w:r w:rsidR="00D005CE" w:rsidRPr="003427A6">
        <w:rPr>
          <w:rFonts w:ascii="Candara" w:hAnsi="Candara"/>
          <w:color w:val="0D0D0D" w:themeColor="text1" w:themeTint="F2"/>
        </w:rPr>
        <w:t xml:space="preserve"> Duchenne Muscular Dystrophy [RIM4DMD] Trial</w:t>
      </w:r>
      <w:r w:rsidR="002E6EC9" w:rsidRPr="003427A6">
        <w:rPr>
          <w:rFonts w:ascii="Candara" w:hAnsi="Candara"/>
          <w:color w:val="0D0D0D" w:themeColor="text1" w:themeTint="F2"/>
        </w:rPr>
        <w:t>)</w:t>
      </w:r>
      <w:r w:rsidR="00D005CE" w:rsidRPr="003427A6">
        <w:rPr>
          <w:rFonts w:ascii="Candara" w:hAnsi="Candara"/>
          <w:color w:val="0D0D0D" w:themeColor="text1" w:themeTint="F2"/>
        </w:rPr>
        <w:t>.</w:t>
      </w:r>
      <w:r w:rsidR="00D005CE" w:rsidRPr="003427A6">
        <w:rPr>
          <w:rStyle w:val="af8"/>
          <w:rFonts w:ascii="Candara" w:hAnsi="Candara"/>
          <w:color w:val="0D0D0D" w:themeColor="text1" w:themeTint="F2"/>
        </w:rPr>
        <w:endnoteReference w:id="60"/>
      </w:r>
      <w:r w:rsidR="00D005CE" w:rsidRPr="003427A6">
        <w:rPr>
          <w:rFonts w:ascii="Candara" w:hAnsi="Candara"/>
          <w:color w:val="0D0D0D" w:themeColor="text1" w:themeTint="F2"/>
        </w:rPr>
        <w:t xml:space="preserve"> Amiloride was approved by the US FDA in 1981 and works by inhibiting </w:t>
      </w:r>
      <w:r w:rsidR="00094952" w:rsidRPr="003427A6">
        <w:rPr>
          <w:rFonts w:ascii="Candara" w:hAnsi="Candara"/>
          <w:color w:val="0D0D0D" w:themeColor="text1" w:themeTint="F2"/>
        </w:rPr>
        <w:t>epithelial sodium channel</w:t>
      </w:r>
      <w:r w:rsidR="00D005CE" w:rsidRPr="003427A6">
        <w:rPr>
          <w:rFonts w:ascii="Candara" w:hAnsi="Candara"/>
          <w:color w:val="0D0D0D" w:themeColor="text1" w:themeTint="F2"/>
        </w:rPr>
        <w:t xml:space="preserve"> in the distal nephron.  It has also been shown to block the NHE3 antiporter on the apical surface of the proximal tubule cells in the nephron, abolishing more than 80% of the action of angiotensin II on the secretion of hydrogen ions in proximal tubule cells.</w:t>
      </w:r>
      <w:r w:rsidR="00D01C0D" w:rsidRPr="003427A6">
        <w:rPr>
          <w:rFonts w:ascii="Candara" w:hAnsi="Candara"/>
          <w:color w:val="0D0D0D" w:themeColor="text1" w:themeTint="F2"/>
        </w:rPr>
        <w:t xml:space="preserve">  Finally, spironolactone has been indirectly linked to NHE1 inhibition in models where desoxycorticosterone induced hypertension results in an upregulation in aortic NHE1 and spironolactone prevents this injury without a change in the transcription of NHE1.</w:t>
      </w:r>
      <w:r w:rsidR="00D01C0D" w:rsidRPr="003427A6">
        <w:rPr>
          <w:rStyle w:val="af8"/>
          <w:rFonts w:ascii="Candara" w:hAnsi="Candara"/>
          <w:color w:val="0D0D0D" w:themeColor="text1" w:themeTint="F2"/>
        </w:rPr>
        <w:endnoteReference w:id="61"/>
      </w:r>
      <w:r w:rsidR="00D01C0D" w:rsidRPr="003427A6">
        <w:rPr>
          <w:rFonts w:ascii="Candara" w:hAnsi="Candara"/>
          <w:color w:val="0D0D0D" w:themeColor="text1" w:themeTint="F2"/>
        </w:rPr>
        <w:t xml:space="preserve">  </w:t>
      </w:r>
    </w:p>
    <w:p w14:paraId="305A99DD" w14:textId="1ECD7B38" w:rsidR="00D01C0D" w:rsidRPr="003427A6" w:rsidRDefault="00D01C0D" w:rsidP="00AE65FA">
      <w:pPr>
        <w:spacing w:line="360" w:lineRule="auto"/>
        <w:ind w:firstLine="720"/>
        <w:rPr>
          <w:rFonts w:ascii="Candara" w:hAnsi="Candara"/>
          <w:color w:val="0D0D0D" w:themeColor="text1" w:themeTint="F2"/>
        </w:rPr>
      </w:pPr>
    </w:p>
    <w:p w14:paraId="0B937E02" w14:textId="6864DDE7" w:rsidR="00A06AAE" w:rsidRPr="003427A6" w:rsidRDefault="00D01C0D" w:rsidP="00F0304D">
      <w:pPr>
        <w:spacing w:line="360" w:lineRule="auto"/>
        <w:rPr>
          <w:rFonts w:ascii="Candara" w:hAnsi="Candara"/>
          <w:b/>
          <w:color w:val="0D0D0D" w:themeColor="text1" w:themeTint="F2"/>
        </w:rPr>
      </w:pPr>
      <w:r w:rsidRPr="003427A6">
        <w:rPr>
          <w:rFonts w:ascii="Candara" w:hAnsi="Candara"/>
          <w:b/>
          <w:color w:val="0D0D0D" w:themeColor="text1" w:themeTint="F2"/>
        </w:rPr>
        <w:t>SGLT2</w:t>
      </w:r>
      <w:r w:rsidR="004D5B40" w:rsidRPr="003427A6">
        <w:rPr>
          <w:rFonts w:ascii="Candara" w:hAnsi="Candara"/>
          <w:b/>
          <w:color w:val="0D0D0D" w:themeColor="text1" w:themeTint="F2"/>
        </w:rPr>
        <w:t>i</w:t>
      </w:r>
      <w:r w:rsidRPr="003427A6">
        <w:rPr>
          <w:rFonts w:ascii="Candara" w:hAnsi="Candara"/>
          <w:b/>
          <w:color w:val="0D0D0D" w:themeColor="text1" w:themeTint="F2"/>
        </w:rPr>
        <w:t xml:space="preserve"> </w:t>
      </w:r>
      <w:r w:rsidR="00262C5D" w:rsidRPr="003427A6">
        <w:rPr>
          <w:rFonts w:ascii="Candara" w:hAnsi="Candara"/>
          <w:b/>
          <w:color w:val="0D0D0D" w:themeColor="text1" w:themeTint="F2"/>
        </w:rPr>
        <w:t>PLE</w:t>
      </w:r>
      <w:r w:rsidR="00712951" w:rsidRPr="003427A6">
        <w:rPr>
          <w:rFonts w:ascii="Candara" w:hAnsi="Candara"/>
          <w:b/>
          <w:color w:val="0D0D0D" w:themeColor="text1" w:themeTint="F2"/>
        </w:rPr>
        <w:t>I</w:t>
      </w:r>
      <w:r w:rsidR="00262C5D" w:rsidRPr="003427A6">
        <w:rPr>
          <w:rFonts w:ascii="Candara" w:hAnsi="Candara"/>
          <w:b/>
          <w:color w:val="0D0D0D" w:themeColor="text1" w:themeTint="F2"/>
        </w:rPr>
        <w:t xml:space="preserve">OTROPIC </w:t>
      </w:r>
      <w:r w:rsidR="002A49B9" w:rsidRPr="003427A6">
        <w:rPr>
          <w:rFonts w:ascii="Candara" w:hAnsi="Candara"/>
          <w:b/>
          <w:color w:val="0D0D0D" w:themeColor="text1" w:themeTint="F2"/>
        </w:rPr>
        <w:t xml:space="preserve">INHIBITION OF </w:t>
      </w:r>
      <w:r w:rsidR="00CA1AA3" w:rsidRPr="003427A6">
        <w:rPr>
          <w:rFonts w:ascii="Candara" w:hAnsi="Candara"/>
          <w:b/>
          <w:color w:val="0D0D0D" w:themeColor="text1" w:themeTint="F2"/>
        </w:rPr>
        <w:t xml:space="preserve">CARDIORENAL </w:t>
      </w:r>
      <w:r w:rsidRPr="003427A6">
        <w:rPr>
          <w:rFonts w:ascii="Candara" w:hAnsi="Candara"/>
          <w:b/>
          <w:color w:val="0D0D0D" w:themeColor="text1" w:themeTint="F2"/>
        </w:rPr>
        <w:t>SODIUM</w:t>
      </w:r>
      <w:r w:rsidR="005508CB" w:rsidRPr="003427A6">
        <w:rPr>
          <w:rFonts w:ascii="Candara" w:hAnsi="Candara"/>
          <w:b/>
          <w:color w:val="0D0D0D" w:themeColor="text1" w:themeTint="F2"/>
        </w:rPr>
        <w:t>-</w:t>
      </w:r>
      <w:r w:rsidR="00F0304D" w:rsidRPr="003427A6">
        <w:rPr>
          <w:rFonts w:ascii="Candara" w:hAnsi="Candara"/>
          <w:b/>
          <w:color w:val="0D0D0D" w:themeColor="text1" w:themeTint="F2"/>
        </w:rPr>
        <w:t xml:space="preserve">PROTON </w:t>
      </w:r>
      <w:r w:rsidR="00C5008F" w:rsidRPr="003427A6">
        <w:rPr>
          <w:rFonts w:ascii="Candara" w:hAnsi="Candara"/>
          <w:b/>
          <w:color w:val="0D0D0D" w:themeColor="text1" w:themeTint="F2"/>
        </w:rPr>
        <w:t>EXCHANGE</w:t>
      </w:r>
    </w:p>
    <w:p w14:paraId="75555C0C" w14:textId="77777777" w:rsidR="00F0304D" w:rsidRPr="003427A6" w:rsidRDefault="00F0304D" w:rsidP="00F0304D">
      <w:pPr>
        <w:spacing w:line="360" w:lineRule="auto"/>
        <w:rPr>
          <w:rFonts w:ascii="Candara" w:hAnsi="Candara"/>
          <w:b/>
          <w:color w:val="0D0D0D" w:themeColor="text1" w:themeTint="F2"/>
        </w:rPr>
      </w:pPr>
    </w:p>
    <w:p w14:paraId="15263B69" w14:textId="0C5B6874" w:rsidR="00D01C0D" w:rsidRPr="003427A6" w:rsidRDefault="00D01C0D" w:rsidP="0063471A">
      <w:pPr>
        <w:spacing w:line="360" w:lineRule="auto"/>
        <w:rPr>
          <w:rFonts w:ascii="Candara" w:hAnsi="Candara"/>
          <w:color w:val="0D0D0D" w:themeColor="text1" w:themeTint="F2"/>
        </w:rPr>
      </w:pPr>
      <w:r w:rsidRPr="003427A6">
        <w:rPr>
          <w:rFonts w:ascii="Candara" w:hAnsi="Candara"/>
          <w:color w:val="0D0D0D" w:themeColor="text1" w:themeTint="F2"/>
        </w:rPr>
        <w:lastRenderedPageBreak/>
        <w:tab/>
      </w:r>
      <w:r w:rsidR="000717B5" w:rsidRPr="003427A6">
        <w:rPr>
          <w:rFonts w:ascii="Candara" w:hAnsi="Candara"/>
          <w:color w:val="0D0D0D" w:themeColor="text1" w:themeTint="F2"/>
        </w:rPr>
        <w:t xml:space="preserve">We recognize that SGLT2i inhibition of the family of NHE’s is speculative and much remains to be proven in testable hypotheses.  </w:t>
      </w:r>
      <w:r w:rsidRPr="003427A6">
        <w:rPr>
          <w:rFonts w:ascii="Candara" w:hAnsi="Candara"/>
          <w:color w:val="0D0D0D" w:themeColor="text1" w:themeTint="F2"/>
        </w:rPr>
        <w:t xml:space="preserve">In preclinical models, </w:t>
      </w:r>
      <w:r w:rsidR="00E8605A" w:rsidRPr="003427A6">
        <w:rPr>
          <w:rFonts w:ascii="Candara" w:hAnsi="Candara"/>
          <w:color w:val="0D0D0D" w:themeColor="text1" w:themeTint="F2"/>
        </w:rPr>
        <w:t>empagliflozin</w:t>
      </w:r>
      <w:r w:rsidRPr="003427A6">
        <w:rPr>
          <w:rFonts w:ascii="Candara" w:hAnsi="Candara"/>
          <w:color w:val="0D0D0D" w:themeColor="text1" w:themeTint="F2"/>
        </w:rPr>
        <w:t xml:space="preserve"> has been demonstrated to have 80% of the NHE1 inhibitory effect of cariporide</w:t>
      </w:r>
      <w:r w:rsidR="003D0598" w:rsidRPr="003427A6">
        <w:rPr>
          <w:rFonts w:ascii="Candara" w:hAnsi="Candara"/>
          <w:color w:val="0D0D0D" w:themeColor="text1" w:themeTint="F2"/>
        </w:rPr>
        <w:t xml:space="preserve"> in both rat and rabbit ventricular myocytes</w:t>
      </w:r>
      <w:r w:rsidRPr="003427A6">
        <w:rPr>
          <w:rFonts w:ascii="Candara" w:hAnsi="Candara"/>
          <w:color w:val="0D0D0D" w:themeColor="text1" w:themeTint="F2"/>
        </w:rPr>
        <w:t>.</w:t>
      </w:r>
      <w:r w:rsidR="003D0598" w:rsidRPr="003427A6">
        <w:rPr>
          <w:rStyle w:val="af8"/>
          <w:rFonts w:ascii="Candara" w:hAnsi="Candara"/>
          <w:color w:val="0D0D0D" w:themeColor="text1" w:themeTint="F2"/>
        </w:rPr>
        <w:endnoteReference w:id="62"/>
      </w:r>
      <w:r w:rsidRPr="003427A6">
        <w:rPr>
          <w:rFonts w:ascii="Candara" w:hAnsi="Candara"/>
          <w:color w:val="0D0D0D" w:themeColor="text1" w:themeTint="F2"/>
        </w:rPr>
        <w:t xml:space="preserve">   </w:t>
      </w:r>
      <w:r w:rsidR="004B16B8" w:rsidRPr="003427A6">
        <w:rPr>
          <w:rFonts w:ascii="Candara" w:hAnsi="Candara"/>
          <w:color w:val="0D0D0D" w:themeColor="text1" w:themeTint="F2"/>
        </w:rPr>
        <w:t>These preclinical trials treated h</w:t>
      </w:r>
      <w:r w:rsidR="00236D33" w:rsidRPr="003427A6">
        <w:rPr>
          <w:rFonts w:ascii="Candara" w:hAnsi="Candara"/>
          <w:color w:val="0D0D0D" w:themeColor="text1" w:themeTint="F2"/>
        </w:rPr>
        <w:t>ealthy cardiomyocytes with physiologically relevant concentrations 0.25- 1 μmol/l of empagliflozin, 5.5 mmol/l or 11 mmol/l glucose, 10 μmol/l cariporide, or 20 mmol NH4Cl (NH+) either alone or in combination.  NHE</w:t>
      </w:r>
      <w:r w:rsidR="0063471A" w:rsidRPr="003427A6">
        <w:rPr>
          <w:rFonts w:ascii="Candara" w:hAnsi="Candara"/>
          <w:color w:val="0D0D0D" w:themeColor="text1" w:themeTint="F2"/>
        </w:rPr>
        <w:t>1</w:t>
      </w:r>
      <w:r w:rsidR="00236D33" w:rsidRPr="003427A6">
        <w:rPr>
          <w:rFonts w:ascii="Candara" w:hAnsi="Candara"/>
          <w:color w:val="0D0D0D" w:themeColor="text1" w:themeTint="F2"/>
        </w:rPr>
        <w:t xml:space="preserve"> </w:t>
      </w:r>
      <w:r w:rsidR="005B3EAA" w:rsidRPr="003427A6">
        <w:rPr>
          <w:rFonts w:ascii="Candara" w:hAnsi="Candara"/>
          <w:color w:val="0D0D0D" w:themeColor="text1" w:themeTint="F2"/>
        </w:rPr>
        <w:t>inhibition was inferred by the delay in</w:t>
      </w:r>
      <w:r w:rsidR="00236D33" w:rsidRPr="003427A6">
        <w:rPr>
          <w:rFonts w:ascii="Candara" w:hAnsi="Candara"/>
          <w:color w:val="0D0D0D" w:themeColor="text1" w:themeTint="F2"/>
        </w:rPr>
        <w:t xml:space="preserve"> pH recovery after an acute acidic load via a pulse of NH4+. In control conditions, pH quickly recovered to normal values after NH4+ pulse.  Recovery of pH was totally inhibited</w:t>
      </w:r>
      <w:r w:rsidR="0063471A" w:rsidRPr="003427A6">
        <w:rPr>
          <w:rFonts w:ascii="Candara" w:hAnsi="Candara"/>
          <w:color w:val="0D0D0D" w:themeColor="text1" w:themeTint="F2"/>
        </w:rPr>
        <w:t xml:space="preserve"> as expected</w:t>
      </w:r>
      <w:r w:rsidR="00236D33" w:rsidRPr="003427A6">
        <w:rPr>
          <w:rFonts w:ascii="Candara" w:hAnsi="Candara"/>
          <w:color w:val="0D0D0D" w:themeColor="text1" w:themeTint="F2"/>
        </w:rPr>
        <w:t xml:space="preserve"> by </w:t>
      </w:r>
      <w:r w:rsidR="00304B30" w:rsidRPr="003427A6">
        <w:rPr>
          <w:rFonts w:ascii="Candara" w:hAnsi="Candara"/>
          <w:color w:val="0D0D0D" w:themeColor="text1" w:themeTint="F2"/>
        </w:rPr>
        <w:t>c</w:t>
      </w:r>
      <w:r w:rsidR="00236D33" w:rsidRPr="003427A6">
        <w:rPr>
          <w:rFonts w:ascii="Candara" w:hAnsi="Candara"/>
          <w:color w:val="0D0D0D" w:themeColor="text1" w:themeTint="F2"/>
        </w:rPr>
        <w:t xml:space="preserve">ariporide.   In the presence of </w:t>
      </w:r>
      <w:r w:rsidR="00E8605A" w:rsidRPr="003427A6">
        <w:rPr>
          <w:rFonts w:ascii="Candara" w:hAnsi="Candara"/>
          <w:color w:val="0D0D0D" w:themeColor="text1" w:themeTint="F2"/>
        </w:rPr>
        <w:t>empagliflozin</w:t>
      </w:r>
      <w:r w:rsidR="00236D33" w:rsidRPr="003427A6">
        <w:rPr>
          <w:rFonts w:ascii="Candara" w:hAnsi="Candara"/>
          <w:color w:val="0D0D0D" w:themeColor="text1" w:themeTint="F2"/>
        </w:rPr>
        <w:t>, the NHE flux was strongly reduced by approximately 80% of th</w:t>
      </w:r>
      <w:r w:rsidR="0063471A" w:rsidRPr="003427A6">
        <w:rPr>
          <w:rFonts w:ascii="Candara" w:hAnsi="Candara"/>
          <w:color w:val="0D0D0D" w:themeColor="text1" w:themeTint="F2"/>
        </w:rPr>
        <w:t>at with c</w:t>
      </w:r>
      <w:r w:rsidR="00236D33" w:rsidRPr="003427A6">
        <w:rPr>
          <w:rFonts w:ascii="Candara" w:hAnsi="Candara"/>
          <w:color w:val="0D0D0D" w:themeColor="text1" w:themeTint="F2"/>
        </w:rPr>
        <w:t>ariporide.</w:t>
      </w:r>
      <w:r w:rsidR="0063471A" w:rsidRPr="003427A6">
        <w:rPr>
          <w:rFonts w:ascii="Candara" w:hAnsi="Candara"/>
          <w:color w:val="0D0D0D" w:themeColor="text1" w:themeTint="F2"/>
        </w:rPr>
        <w:t xml:space="preserve"> </w:t>
      </w:r>
      <w:r w:rsidR="00236D33" w:rsidRPr="003427A6">
        <w:rPr>
          <w:rFonts w:ascii="Candara" w:hAnsi="Candara"/>
          <w:color w:val="0D0D0D" w:themeColor="text1" w:themeTint="F2"/>
        </w:rPr>
        <w:t xml:space="preserve"> </w:t>
      </w:r>
      <w:r w:rsidRPr="003427A6">
        <w:rPr>
          <w:rFonts w:ascii="Candara" w:hAnsi="Candara"/>
          <w:color w:val="0D0D0D" w:themeColor="text1" w:themeTint="F2"/>
        </w:rPr>
        <w:t xml:space="preserve">This effect was independent of glucose and SGLT1 in cardiomyocytes. </w:t>
      </w:r>
      <w:r w:rsidR="0063471A" w:rsidRPr="003427A6">
        <w:rPr>
          <w:rFonts w:ascii="Candara" w:hAnsi="Candara"/>
          <w:color w:val="0D0D0D" w:themeColor="text1" w:themeTint="F2"/>
        </w:rPr>
        <w:t>I</w:t>
      </w:r>
      <w:r w:rsidR="00B86636" w:rsidRPr="003427A6">
        <w:rPr>
          <w:rFonts w:ascii="Candara" w:hAnsi="Candara"/>
          <w:color w:val="0D0D0D" w:themeColor="text1" w:themeTint="F2"/>
        </w:rPr>
        <w:t>solated healthy m</w:t>
      </w:r>
      <w:r w:rsidR="0063471A" w:rsidRPr="003427A6">
        <w:rPr>
          <w:rFonts w:ascii="Candara" w:hAnsi="Candara"/>
          <w:color w:val="0D0D0D" w:themeColor="text1" w:themeTint="F2"/>
        </w:rPr>
        <w:t xml:space="preserve">ouse ventricular cardiomyocytes </w:t>
      </w:r>
      <w:r w:rsidR="004F7CD7" w:rsidRPr="003427A6">
        <w:rPr>
          <w:rFonts w:ascii="Candara" w:hAnsi="Candara"/>
          <w:color w:val="0D0D0D" w:themeColor="text1" w:themeTint="F2"/>
        </w:rPr>
        <w:t>were</w:t>
      </w:r>
      <w:r w:rsidR="0063471A" w:rsidRPr="003427A6">
        <w:rPr>
          <w:rFonts w:ascii="Candara" w:hAnsi="Candara"/>
          <w:color w:val="0D0D0D" w:themeColor="text1" w:themeTint="F2"/>
        </w:rPr>
        <w:t xml:space="preserve"> treated with 1 μmol/l </w:t>
      </w:r>
      <w:r w:rsidR="00E8605A" w:rsidRPr="003427A6">
        <w:rPr>
          <w:rFonts w:ascii="Candara" w:hAnsi="Candara"/>
          <w:color w:val="0D0D0D" w:themeColor="text1" w:themeTint="F2"/>
        </w:rPr>
        <w:t>empagliflozin</w:t>
      </w:r>
      <w:r w:rsidR="0063471A" w:rsidRPr="003427A6">
        <w:rPr>
          <w:rFonts w:ascii="Candara" w:hAnsi="Candara"/>
          <w:color w:val="0D0D0D" w:themeColor="text1" w:themeTint="F2"/>
        </w:rPr>
        <w:t xml:space="preserve">, 1 μmol/l </w:t>
      </w:r>
      <w:r w:rsidR="00E8605A" w:rsidRPr="003427A6">
        <w:rPr>
          <w:rFonts w:ascii="Candara" w:hAnsi="Candara"/>
          <w:color w:val="0D0D0D" w:themeColor="text1" w:themeTint="F2"/>
        </w:rPr>
        <w:t>dapagliflozin</w:t>
      </w:r>
      <w:r w:rsidR="0063471A" w:rsidRPr="003427A6">
        <w:rPr>
          <w:rFonts w:ascii="Candara" w:hAnsi="Candara"/>
          <w:color w:val="0D0D0D" w:themeColor="text1" w:themeTint="F2"/>
        </w:rPr>
        <w:t xml:space="preserve">, 3 μmol/l canagliflozin or control vehicle </w:t>
      </w:r>
      <w:r w:rsidR="004F7CD7" w:rsidRPr="003427A6">
        <w:rPr>
          <w:rFonts w:ascii="Candara" w:hAnsi="Candara"/>
          <w:color w:val="0D0D0D" w:themeColor="text1" w:themeTint="F2"/>
        </w:rPr>
        <w:t xml:space="preserve">(note that these </w:t>
      </w:r>
      <w:r w:rsidR="0063471A" w:rsidRPr="003427A6">
        <w:rPr>
          <w:rFonts w:ascii="Candara" w:hAnsi="Candara"/>
          <w:color w:val="0D0D0D" w:themeColor="text1" w:themeTint="F2"/>
        </w:rPr>
        <w:t>concentrations were based on the maximum plasma concentration of each drug at physiologic doses</w:t>
      </w:r>
      <w:r w:rsidR="0063471A" w:rsidRPr="003427A6">
        <w:rPr>
          <w:rStyle w:val="af8"/>
          <w:rFonts w:ascii="Candara" w:hAnsi="Candara"/>
          <w:color w:val="0D0D0D" w:themeColor="text1" w:themeTint="F2"/>
        </w:rPr>
        <w:endnoteReference w:id="63"/>
      </w:r>
      <w:r w:rsidR="004F7CD7" w:rsidRPr="003427A6">
        <w:rPr>
          <w:rFonts w:ascii="Candara" w:hAnsi="Candara"/>
          <w:color w:val="0D0D0D" w:themeColor="text1" w:themeTint="F2"/>
        </w:rPr>
        <w:t>).</w:t>
      </w:r>
      <w:r w:rsidR="0063471A" w:rsidRPr="003427A6">
        <w:rPr>
          <w:rFonts w:ascii="Candara" w:hAnsi="Candara"/>
          <w:color w:val="0D0D0D" w:themeColor="text1" w:themeTint="F2"/>
        </w:rPr>
        <w:t xml:space="preserve">  </w:t>
      </w:r>
      <w:r w:rsidR="00695982" w:rsidRPr="003427A6">
        <w:rPr>
          <w:rFonts w:ascii="Candara" w:hAnsi="Candara"/>
          <w:color w:val="0D0D0D" w:themeColor="text1" w:themeTint="F2"/>
        </w:rPr>
        <w:t xml:space="preserve">As shown in </w:t>
      </w:r>
      <w:r w:rsidR="00695982" w:rsidRPr="003427A6">
        <w:rPr>
          <w:rFonts w:ascii="Candara" w:hAnsi="Candara"/>
        </w:rPr>
        <w:t>Figure</w:t>
      </w:r>
      <w:r w:rsidR="005A7617" w:rsidRPr="003427A6">
        <w:rPr>
          <w:rFonts w:ascii="Candara" w:hAnsi="Candara"/>
        </w:rPr>
        <w:t xml:space="preserve"> </w:t>
      </w:r>
      <w:r w:rsidR="00C806BF" w:rsidRPr="003427A6">
        <w:rPr>
          <w:rFonts w:ascii="Candara" w:hAnsi="Candara"/>
        </w:rPr>
        <w:t>3</w:t>
      </w:r>
      <w:r w:rsidR="00695982" w:rsidRPr="003427A6">
        <w:rPr>
          <w:rFonts w:ascii="Candara" w:hAnsi="Candara"/>
        </w:rPr>
        <w:t xml:space="preserve">, all three compounds considerably slowed the restoration of intracellular pH after </w:t>
      </w:r>
      <w:r w:rsidR="0099096E" w:rsidRPr="003427A6">
        <w:rPr>
          <w:rFonts w:ascii="Candara" w:hAnsi="Candara"/>
        </w:rPr>
        <w:t xml:space="preserve">an </w:t>
      </w:r>
      <w:r w:rsidR="00695982" w:rsidRPr="003427A6">
        <w:rPr>
          <w:rFonts w:ascii="Candara" w:hAnsi="Candara"/>
        </w:rPr>
        <w:t xml:space="preserve">NH4 pulse.  </w:t>
      </w:r>
      <w:r w:rsidR="0099096E" w:rsidRPr="003427A6">
        <w:rPr>
          <w:rFonts w:ascii="Candara" w:hAnsi="Candara"/>
        </w:rPr>
        <w:t xml:space="preserve">Additionally, in </w:t>
      </w:r>
      <w:r w:rsidR="00695982" w:rsidRPr="003427A6">
        <w:rPr>
          <w:rFonts w:ascii="Candara" w:hAnsi="Candara"/>
        </w:rPr>
        <w:t xml:space="preserve">a model of NHE1 binding, all three </w:t>
      </w:r>
      <w:r w:rsidR="0099096E" w:rsidRPr="003427A6">
        <w:rPr>
          <w:rFonts w:ascii="Candara" w:hAnsi="Candara"/>
        </w:rPr>
        <w:t>SGLT2i</w:t>
      </w:r>
      <w:r w:rsidR="00695982" w:rsidRPr="003427A6">
        <w:rPr>
          <w:rFonts w:ascii="Candara" w:hAnsi="Candara"/>
        </w:rPr>
        <w:t xml:space="preserve"> were found to bind </w:t>
      </w:r>
      <w:r w:rsidR="00E8605A" w:rsidRPr="003427A6">
        <w:rPr>
          <w:rFonts w:ascii="Candara" w:hAnsi="Candara"/>
        </w:rPr>
        <w:t>efficiently</w:t>
      </w:r>
      <w:r w:rsidR="00695982" w:rsidRPr="003427A6">
        <w:rPr>
          <w:rFonts w:ascii="Candara" w:hAnsi="Candara"/>
        </w:rPr>
        <w:t xml:space="preserve"> at the Na pocket of NHE1 </w:t>
      </w:r>
      <w:r w:rsidR="00304B30" w:rsidRPr="003427A6">
        <w:rPr>
          <w:rFonts w:ascii="Candara" w:hAnsi="Candara"/>
        </w:rPr>
        <w:t xml:space="preserve">(815 amino acids) </w:t>
      </w:r>
      <w:r w:rsidR="00695982" w:rsidRPr="003427A6">
        <w:rPr>
          <w:rFonts w:ascii="Candara" w:hAnsi="Candara"/>
        </w:rPr>
        <w:t>as shown in Figure</w:t>
      </w:r>
      <w:r w:rsidR="005A7617" w:rsidRPr="003427A6">
        <w:rPr>
          <w:rFonts w:ascii="Candara" w:hAnsi="Candara"/>
        </w:rPr>
        <w:t xml:space="preserve"> </w:t>
      </w:r>
      <w:r w:rsidR="00C806BF" w:rsidRPr="003427A6">
        <w:rPr>
          <w:rFonts w:ascii="Candara" w:hAnsi="Candara"/>
        </w:rPr>
        <w:t>4</w:t>
      </w:r>
      <w:r w:rsidR="0099096E" w:rsidRPr="003427A6">
        <w:rPr>
          <w:rFonts w:ascii="Candara" w:hAnsi="Candara"/>
        </w:rPr>
        <w:t xml:space="preserve"> (n</w:t>
      </w:r>
      <w:r w:rsidR="0099096E" w:rsidRPr="003427A6">
        <w:rPr>
          <w:rFonts w:ascii="Candara" w:hAnsi="Candara"/>
          <w:color w:val="0D0D0D" w:themeColor="text1" w:themeTint="F2"/>
        </w:rPr>
        <w:t>ote glucose was used as a control as it binds weakly to the Na pocket at much lower affinities)</w:t>
      </w:r>
      <w:r w:rsidR="00695982" w:rsidRPr="003427A6">
        <w:rPr>
          <w:rFonts w:ascii="Candara" w:hAnsi="Candara"/>
          <w:color w:val="0D0D0D" w:themeColor="text1" w:themeTint="F2"/>
        </w:rPr>
        <w:t>.</w:t>
      </w:r>
      <w:r w:rsidR="00C11CE1" w:rsidRPr="003427A6">
        <w:rPr>
          <w:rFonts w:ascii="Candara" w:hAnsi="Candara"/>
          <w:color w:val="0D0D0D" w:themeColor="text1" w:themeTint="F2"/>
        </w:rPr>
        <w:t xml:space="preserve">  The glucoside portion of the drug molecule b</w:t>
      </w:r>
      <w:r w:rsidR="00712951" w:rsidRPr="003427A6">
        <w:rPr>
          <w:rFonts w:ascii="Candara" w:hAnsi="Candara"/>
          <w:color w:val="0D0D0D" w:themeColor="text1" w:themeTint="F2"/>
        </w:rPr>
        <w:t>ound</w:t>
      </w:r>
      <w:r w:rsidR="00C11CE1" w:rsidRPr="003427A6">
        <w:rPr>
          <w:rFonts w:ascii="Candara" w:hAnsi="Candara"/>
          <w:color w:val="0D0D0D" w:themeColor="text1" w:themeTint="F2"/>
        </w:rPr>
        <w:t xml:space="preserve"> toward the Na+ binding site on the extracellular side of the channel and the aglycone portion of the drug molecule blocks the aperture. </w:t>
      </w:r>
      <w:r w:rsidR="00094952" w:rsidRPr="003427A6">
        <w:rPr>
          <w:rFonts w:ascii="Candara" w:hAnsi="Candara"/>
          <w:color w:val="0D0D0D" w:themeColor="text1" w:themeTint="F2"/>
        </w:rPr>
        <w:t>SGLT2</w:t>
      </w:r>
      <w:r w:rsidR="00C11CE1" w:rsidRPr="003427A6">
        <w:rPr>
          <w:rFonts w:ascii="Candara" w:hAnsi="Candara"/>
          <w:color w:val="0D0D0D" w:themeColor="text1" w:themeTint="F2"/>
        </w:rPr>
        <w:t xml:space="preserve"> inhibition of NHE1 on cardiomyocytes reduce</w:t>
      </w:r>
      <w:r w:rsidR="00712951" w:rsidRPr="003427A6">
        <w:rPr>
          <w:rFonts w:ascii="Candara" w:hAnsi="Candara"/>
          <w:color w:val="0D0D0D" w:themeColor="text1" w:themeTint="F2"/>
        </w:rPr>
        <w:t>d</w:t>
      </w:r>
      <w:r w:rsidR="00C11CE1" w:rsidRPr="003427A6">
        <w:rPr>
          <w:rFonts w:ascii="Candara" w:hAnsi="Candara"/>
          <w:color w:val="0D0D0D" w:themeColor="text1" w:themeTint="F2"/>
        </w:rPr>
        <w:t xml:space="preserve"> intracellular concentrations of sodium</w:t>
      </w:r>
      <w:r w:rsidR="0099096E" w:rsidRPr="003427A6">
        <w:rPr>
          <w:rFonts w:ascii="Candara" w:hAnsi="Candara"/>
          <w:color w:val="0D0D0D" w:themeColor="text1" w:themeTint="F2"/>
        </w:rPr>
        <w:t>,</w:t>
      </w:r>
      <w:r w:rsidR="00C11CE1" w:rsidRPr="003427A6">
        <w:rPr>
          <w:rFonts w:ascii="Candara" w:hAnsi="Candara"/>
          <w:color w:val="0D0D0D" w:themeColor="text1" w:themeTint="F2"/>
        </w:rPr>
        <w:t xml:space="preserve"> </w:t>
      </w:r>
      <w:r w:rsidR="0099096E" w:rsidRPr="003427A6">
        <w:rPr>
          <w:rFonts w:ascii="Candara" w:hAnsi="Candara"/>
          <w:color w:val="0D0D0D" w:themeColor="text1" w:themeTint="F2"/>
        </w:rPr>
        <w:t xml:space="preserve">subsequently reducing </w:t>
      </w:r>
      <w:r w:rsidR="00C11CE1" w:rsidRPr="003427A6">
        <w:rPr>
          <w:rFonts w:ascii="Candara" w:hAnsi="Candara"/>
          <w:color w:val="0D0D0D" w:themeColor="text1" w:themeTint="F2"/>
        </w:rPr>
        <w:t>calcium overloading which is a common pathophysiologic mechanism of contractile failure</w:t>
      </w:r>
      <w:r w:rsidR="00110267" w:rsidRPr="003427A6">
        <w:rPr>
          <w:rFonts w:ascii="Candara" w:hAnsi="Candara"/>
          <w:color w:val="0D0D0D" w:themeColor="text1" w:themeTint="F2"/>
        </w:rPr>
        <w:t>.</w:t>
      </w:r>
      <w:bookmarkStart w:id="15" w:name="_Ref531947969"/>
      <w:r w:rsidR="00C52E59" w:rsidRPr="003427A6">
        <w:rPr>
          <w:rStyle w:val="af8"/>
          <w:rFonts w:ascii="Candara" w:hAnsi="Candara"/>
          <w:color w:val="0D0D0D" w:themeColor="text1" w:themeTint="F2"/>
        </w:rPr>
        <w:endnoteReference w:id="64"/>
      </w:r>
      <w:bookmarkEnd w:id="15"/>
      <w:r w:rsidR="00110267" w:rsidRPr="003427A6">
        <w:rPr>
          <w:rFonts w:ascii="Candara" w:hAnsi="Candara"/>
          <w:color w:val="0D0D0D" w:themeColor="text1" w:themeTint="F2"/>
        </w:rPr>
        <w:t xml:space="preserve">  The reduction in intracellular sodium influx was significant and clearly associated with the introduction of the SGLT</w:t>
      </w:r>
      <w:r w:rsidR="00E6663B" w:rsidRPr="003427A6">
        <w:rPr>
          <w:rFonts w:ascii="Candara" w:hAnsi="Candara"/>
          <w:color w:val="0D0D0D" w:themeColor="text1" w:themeTint="F2"/>
        </w:rPr>
        <w:t>2</w:t>
      </w:r>
      <w:r w:rsidR="00110267" w:rsidRPr="003427A6">
        <w:rPr>
          <w:rFonts w:ascii="Candara" w:hAnsi="Candara"/>
          <w:color w:val="0D0D0D" w:themeColor="text1" w:themeTint="F2"/>
        </w:rPr>
        <w:t xml:space="preserve">i in the </w:t>
      </w:r>
      <w:r w:rsidR="003D0598" w:rsidRPr="003427A6">
        <w:rPr>
          <w:rFonts w:ascii="Candara" w:hAnsi="Candara"/>
          <w:color w:val="0D0D0D" w:themeColor="text1" w:themeTint="F2"/>
        </w:rPr>
        <w:t>experimental model.</w:t>
      </w:r>
      <w:r w:rsidR="00C11CE1" w:rsidRPr="003427A6">
        <w:rPr>
          <w:rFonts w:ascii="Candara" w:hAnsi="Candara"/>
          <w:color w:val="0D0D0D" w:themeColor="text1" w:themeTint="F2"/>
        </w:rPr>
        <w:t xml:space="preserve">  Langendorff constant-flow perfused mouse hearts were treated with SGLT2i </w:t>
      </w:r>
      <w:r w:rsidR="00E6663B" w:rsidRPr="003427A6">
        <w:rPr>
          <w:rFonts w:ascii="Candara" w:hAnsi="Candara"/>
          <w:color w:val="0D0D0D" w:themeColor="text1" w:themeTint="F2"/>
        </w:rPr>
        <w:t>for 30 minutes</w:t>
      </w:r>
      <w:r w:rsidR="003B191E" w:rsidRPr="003427A6">
        <w:rPr>
          <w:rFonts w:ascii="Candara" w:hAnsi="Candara"/>
          <w:color w:val="0D0D0D" w:themeColor="text1" w:themeTint="F2"/>
        </w:rPr>
        <w:t>;</w:t>
      </w:r>
      <w:r w:rsidR="00E6663B" w:rsidRPr="003427A6">
        <w:rPr>
          <w:rFonts w:ascii="Candara" w:hAnsi="Candara"/>
          <w:color w:val="0D0D0D" w:themeColor="text1" w:themeTint="F2"/>
        </w:rPr>
        <w:t xml:space="preserve"> there was </w:t>
      </w:r>
      <w:r w:rsidR="00EF4B69" w:rsidRPr="003427A6">
        <w:rPr>
          <w:rFonts w:ascii="Candara" w:hAnsi="Candara"/>
          <w:color w:val="0D0D0D" w:themeColor="text1" w:themeTint="F2"/>
        </w:rPr>
        <w:t xml:space="preserve">coronary dilation with a </w:t>
      </w:r>
      <w:r w:rsidR="00E6663B" w:rsidRPr="003427A6">
        <w:rPr>
          <w:rFonts w:ascii="Candara" w:hAnsi="Candara"/>
          <w:color w:val="0D0D0D" w:themeColor="text1" w:themeTint="F2"/>
        </w:rPr>
        <w:t xml:space="preserve">modest reduction in coronary perfusion pressure </w:t>
      </w:r>
      <w:r w:rsidR="00EF4B69" w:rsidRPr="003427A6">
        <w:rPr>
          <w:rFonts w:ascii="Candara" w:hAnsi="Candara"/>
          <w:color w:val="0D0D0D" w:themeColor="text1" w:themeTint="F2"/>
        </w:rPr>
        <w:t>and</w:t>
      </w:r>
      <w:r w:rsidR="00E6663B" w:rsidRPr="003427A6">
        <w:rPr>
          <w:rFonts w:ascii="Candara" w:hAnsi="Candara"/>
          <w:color w:val="0D0D0D" w:themeColor="text1" w:themeTint="F2"/>
        </w:rPr>
        <w:t xml:space="preserve"> no change in rate-pressure product or measures of myocardial energetics.   It is also </w:t>
      </w:r>
      <w:r w:rsidR="00712951" w:rsidRPr="003427A6">
        <w:rPr>
          <w:rFonts w:ascii="Candara" w:hAnsi="Candara"/>
          <w:color w:val="0D0D0D" w:themeColor="text1" w:themeTint="F2"/>
        </w:rPr>
        <w:t xml:space="preserve">has been </w:t>
      </w:r>
      <w:r w:rsidR="00E6663B" w:rsidRPr="003427A6">
        <w:rPr>
          <w:rFonts w:ascii="Candara" w:hAnsi="Candara"/>
          <w:color w:val="0D0D0D" w:themeColor="text1" w:themeTint="F2"/>
        </w:rPr>
        <w:t>known that SGLT2i do not influence the cardiomyocyte action potential.   At this time, the</w:t>
      </w:r>
      <w:r w:rsidR="003D0598" w:rsidRPr="003427A6">
        <w:rPr>
          <w:rFonts w:ascii="Candara" w:hAnsi="Candara"/>
          <w:color w:val="0D0D0D" w:themeColor="text1" w:themeTint="F2"/>
        </w:rPr>
        <w:t xml:space="preserve"> physiologic impact </w:t>
      </w:r>
      <w:r w:rsidR="00E6663B" w:rsidRPr="003427A6">
        <w:rPr>
          <w:rFonts w:ascii="Candara" w:hAnsi="Candara"/>
          <w:color w:val="0D0D0D" w:themeColor="text1" w:themeTint="F2"/>
        </w:rPr>
        <w:t xml:space="preserve">and </w:t>
      </w:r>
      <w:r w:rsidR="003D0598" w:rsidRPr="003427A6">
        <w:rPr>
          <w:rFonts w:ascii="Candara" w:hAnsi="Candara"/>
          <w:color w:val="0D0D0D" w:themeColor="text1" w:themeTint="F2"/>
        </w:rPr>
        <w:t xml:space="preserve">direct cardiac tissue effect of SGLT2i </w:t>
      </w:r>
      <w:r w:rsidR="003D0598" w:rsidRPr="003427A6">
        <w:rPr>
          <w:rFonts w:ascii="Candara" w:hAnsi="Candara"/>
          <w:color w:val="0D0D0D" w:themeColor="text1" w:themeTint="F2"/>
        </w:rPr>
        <w:lastRenderedPageBreak/>
        <w:t>h</w:t>
      </w:r>
      <w:r w:rsidR="00712951" w:rsidRPr="003427A6">
        <w:rPr>
          <w:rFonts w:ascii="Candara" w:hAnsi="Candara"/>
          <w:color w:val="0D0D0D" w:themeColor="text1" w:themeTint="F2"/>
        </w:rPr>
        <w:t>ave</w:t>
      </w:r>
      <w:r w:rsidR="003D0598" w:rsidRPr="003427A6">
        <w:rPr>
          <w:rFonts w:ascii="Candara" w:hAnsi="Candara"/>
          <w:color w:val="0D0D0D" w:themeColor="text1" w:themeTint="F2"/>
        </w:rPr>
        <w:t xml:space="preserve"> not been fully assessed, but</w:t>
      </w:r>
      <w:r w:rsidR="00AB2D6A" w:rsidRPr="003427A6">
        <w:rPr>
          <w:rFonts w:ascii="Candara" w:hAnsi="Candara"/>
          <w:color w:val="0D0D0D" w:themeColor="text1" w:themeTint="F2"/>
        </w:rPr>
        <w:t xml:space="preserve"> we believe</w:t>
      </w:r>
      <w:r w:rsidR="003D0598" w:rsidRPr="003427A6">
        <w:rPr>
          <w:rFonts w:ascii="Candara" w:hAnsi="Candara"/>
          <w:color w:val="0D0D0D" w:themeColor="text1" w:themeTint="F2"/>
        </w:rPr>
        <w:t xml:space="preserve"> preclinical data suggest </w:t>
      </w:r>
      <w:r w:rsidR="00E6663B" w:rsidRPr="003427A6">
        <w:rPr>
          <w:rFonts w:ascii="Candara" w:hAnsi="Candara"/>
          <w:color w:val="0D0D0D" w:themeColor="text1" w:themeTint="F2"/>
        </w:rPr>
        <w:t xml:space="preserve">blunting of the recovery of pH may </w:t>
      </w:r>
      <w:r w:rsidR="005B3EAA" w:rsidRPr="003427A6">
        <w:rPr>
          <w:rFonts w:ascii="Candara" w:hAnsi="Candara"/>
          <w:color w:val="0D0D0D" w:themeColor="text1" w:themeTint="F2"/>
        </w:rPr>
        <w:t>mimic</w:t>
      </w:r>
      <w:r w:rsidR="00E6663B" w:rsidRPr="003427A6">
        <w:rPr>
          <w:rFonts w:ascii="Candara" w:hAnsi="Candara"/>
          <w:color w:val="0D0D0D" w:themeColor="text1" w:themeTint="F2"/>
        </w:rPr>
        <w:t xml:space="preserve"> ischemic preconditioning which is a set of actions that have protective effects on cell survival</w:t>
      </w:r>
      <w:r w:rsidR="00AF3138" w:rsidRPr="003427A6">
        <w:rPr>
          <w:rFonts w:ascii="Candara" w:hAnsi="Candara"/>
          <w:color w:val="0D0D0D" w:themeColor="text1" w:themeTint="F2"/>
        </w:rPr>
        <w:t xml:space="preserve">, </w:t>
      </w:r>
      <w:r w:rsidR="00E6663B" w:rsidRPr="003427A6">
        <w:rPr>
          <w:rFonts w:ascii="Candara" w:hAnsi="Candara"/>
          <w:color w:val="0D0D0D" w:themeColor="text1" w:themeTint="F2"/>
        </w:rPr>
        <w:t>function</w:t>
      </w:r>
      <w:r w:rsidR="00AF3138" w:rsidRPr="003427A6">
        <w:rPr>
          <w:rFonts w:ascii="Candara" w:hAnsi="Candara"/>
          <w:color w:val="0D0D0D" w:themeColor="text1" w:themeTint="F2"/>
        </w:rPr>
        <w:t>, and organ adaptation</w:t>
      </w:r>
      <w:r w:rsidR="003D0598" w:rsidRPr="003427A6">
        <w:rPr>
          <w:rFonts w:ascii="Candara" w:hAnsi="Candara"/>
          <w:color w:val="0D0D0D" w:themeColor="text1" w:themeTint="F2"/>
        </w:rPr>
        <w:t>.</w:t>
      </w:r>
      <w:r w:rsidR="00AF3138" w:rsidRPr="003427A6">
        <w:rPr>
          <w:rStyle w:val="af8"/>
          <w:rFonts w:ascii="Candara" w:hAnsi="Candara"/>
          <w:color w:val="0D0D0D" w:themeColor="text1" w:themeTint="F2"/>
        </w:rPr>
        <w:endnoteReference w:id="65"/>
      </w:r>
      <w:r w:rsidR="00C52E59" w:rsidRPr="003427A6">
        <w:rPr>
          <w:rFonts w:ascii="Candara" w:hAnsi="Candara"/>
          <w:color w:val="0D0D0D" w:themeColor="text1" w:themeTint="F2"/>
        </w:rPr>
        <w:t xml:space="preserve">  </w:t>
      </w:r>
      <w:r w:rsidR="007B4508" w:rsidRPr="003427A6">
        <w:rPr>
          <w:rFonts w:ascii="Candara" w:hAnsi="Candara"/>
          <w:color w:val="0D0D0D" w:themeColor="text1" w:themeTint="F2"/>
        </w:rPr>
        <w:t xml:space="preserve">Finally, </w:t>
      </w:r>
      <w:r w:rsidR="00E8605A" w:rsidRPr="003427A6">
        <w:rPr>
          <w:rFonts w:ascii="Candara" w:hAnsi="Candara"/>
          <w:color w:val="0D0D0D" w:themeColor="text1" w:themeTint="F2"/>
        </w:rPr>
        <w:t>dapagliflozin</w:t>
      </w:r>
      <w:r w:rsidR="00C52E59" w:rsidRPr="003427A6">
        <w:rPr>
          <w:rFonts w:ascii="Candara" w:hAnsi="Candara"/>
          <w:color w:val="0D0D0D" w:themeColor="text1" w:themeTint="F2"/>
        </w:rPr>
        <w:t xml:space="preserve"> has been demonstrated to attenuate the upregulation of NHE1 in response to injury due to lipoprotein polysaccharide in preclinical models using rat cardi</w:t>
      </w:r>
      <w:r w:rsidR="007F5903" w:rsidRPr="003427A6">
        <w:rPr>
          <w:rFonts w:ascii="Candara" w:hAnsi="Candara"/>
          <w:color w:val="0D0D0D" w:themeColor="text1" w:themeTint="F2"/>
        </w:rPr>
        <w:t xml:space="preserve">ac </w:t>
      </w:r>
      <w:r w:rsidR="00C52E59" w:rsidRPr="003427A6">
        <w:rPr>
          <w:rFonts w:ascii="Candara" w:hAnsi="Candara"/>
          <w:color w:val="0D0D0D" w:themeColor="text1" w:themeTint="F2"/>
        </w:rPr>
        <w:t>fibroblasts.</w:t>
      </w:r>
      <w:r w:rsidR="00C52E59" w:rsidRPr="003427A6">
        <w:rPr>
          <w:rStyle w:val="af8"/>
          <w:rFonts w:ascii="Candara" w:hAnsi="Candara"/>
          <w:color w:val="0D0D0D" w:themeColor="text1" w:themeTint="F2"/>
        </w:rPr>
        <w:endnoteReference w:id="66"/>
      </w:r>
    </w:p>
    <w:p w14:paraId="1389F179" w14:textId="0B33EEDB" w:rsidR="00FA4530" w:rsidRPr="003427A6" w:rsidRDefault="003D0598" w:rsidP="00FA4530">
      <w:pPr>
        <w:spacing w:line="360" w:lineRule="auto"/>
        <w:ind w:firstLine="720"/>
        <w:rPr>
          <w:rFonts w:ascii="Candara" w:hAnsi="Candara"/>
          <w:color w:val="0D0D0D" w:themeColor="text1" w:themeTint="F2"/>
        </w:rPr>
      </w:pPr>
      <w:r w:rsidRPr="003427A6">
        <w:rPr>
          <w:rFonts w:ascii="Candara" w:hAnsi="Candara"/>
          <w:color w:val="0D0D0D" w:themeColor="text1" w:themeTint="F2"/>
        </w:rPr>
        <w:t>In the kidney,</w:t>
      </w:r>
      <w:r w:rsidR="00FA4530" w:rsidRPr="003427A6">
        <w:rPr>
          <w:rFonts w:ascii="Candara" w:hAnsi="Candara"/>
          <w:color w:val="0D0D0D" w:themeColor="text1" w:themeTint="F2"/>
        </w:rPr>
        <w:t xml:space="preserve"> </w:t>
      </w:r>
      <w:r w:rsidR="007F5903" w:rsidRPr="003427A6">
        <w:rPr>
          <w:rFonts w:ascii="Candara" w:hAnsi="Candara"/>
          <w:color w:val="0D0D0D" w:themeColor="text1" w:themeTint="F2"/>
        </w:rPr>
        <w:t xml:space="preserve">under </w:t>
      </w:r>
      <w:r w:rsidR="00FA4530" w:rsidRPr="003427A6">
        <w:rPr>
          <w:rFonts w:ascii="Candara" w:hAnsi="Candara"/>
          <w:color w:val="0D0D0D" w:themeColor="text1" w:themeTint="F2"/>
        </w:rPr>
        <w:t>physiologic concentrations of glucose, SGLT2-mediated glucose uptake</w:t>
      </w:r>
      <w:r w:rsidR="00712951" w:rsidRPr="003427A6">
        <w:rPr>
          <w:rFonts w:ascii="Candara" w:hAnsi="Candara"/>
          <w:color w:val="0D0D0D" w:themeColor="text1" w:themeTint="F2"/>
        </w:rPr>
        <w:t xml:space="preserve"> has been shown to</w:t>
      </w:r>
      <w:r w:rsidR="00FA4530" w:rsidRPr="003427A6">
        <w:rPr>
          <w:rFonts w:ascii="Candara" w:hAnsi="Candara"/>
          <w:color w:val="0D0D0D" w:themeColor="text1" w:themeTint="F2"/>
        </w:rPr>
        <w:t xml:space="preserve"> stimulate NHE3</w:t>
      </w:r>
      <w:r w:rsidR="00304B30" w:rsidRPr="003427A6">
        <w:rPr>
          <w:rFonts w:ascii="Candara" w:hAnsi="Candara"/>
          <w:color w:val="0D0D0D" w:themeColor="text1" w:themeTint="F2"/>
        </w:rPr>
        <w:t xml:space="preserve"> (834 amino acids)</w:t>
      </w:r>
      <w:r w:rsidR="007F5903" w:rsidRPr="003427A6">
        <w:rPr>
          <w:rFonts w:ascii="Candara" w:hAnsi="Candara"/>
          <w:color w:val="0D0D0D" w:themeColor="text1" w:themeTint="F2"/>
        </w:rPr>
        <w:t xml:space="preserve"> which is </w:t>
      </w:r>
      <w:r w:rsidR="00FA4530" w:rsidRPr="003427A6">
        <w:rPr>
          <w:rFonts w:ascii="Candara" w:hAnsi="Candara"/>
          <w:color w:val="0D0D0D" w:themeColor="text1" w:themeTint="F2"/>
        </w:rPr>
        <w:t>involved in the</w:t>
      </w:r>
      <w:r w:rsidR="007F5903" w:rsidRPr="003427A6">
        <w:rPr>
          <w:rFonts w:ascii="Candara" w:hAnsi="Candara"/>
          <w:color w:val="0D0D0D" w:themeColor="text1" w:themeTint="F2"/>
        </w:rPr>
        <w:t xml:space="preserve"> secretion of ammonia and</w:t>
      </w:r>
      <w:r w:rsidR="00FA4530" w:rsidRPr="003427A6">
        <w:rPr>
          <w:rFonts w:ascii="Candara" w:hAnsi="Candara"/>
          <w:color w:val="0D0D0D" w:themeColor="text1" w:themeTint="F2"/>
        </w:rPr>
        <w:t xml:space="preserve"> reabsorption of sodium bicarbonate</w:t>
      </w:r>
      <w:r w:rsidR="00C52E59" w:rsidRPr="003427A6">
        <w:rPr>
          <w:rFonts w:ascii="Candara" w:hAnsi="Candara"/>
          <w:color w:val="0D0D0D" w:themeColor="text1" w:themeTint="F2"/>
        </w:rPr>
        <w:t>.</w:t>
      </w:r>
      <w:r w:rsidR="00C52E59" w:rsidRPr="003427A6">
        <w:rPr>
          <w:rStyle w:val="af8"/>
          <w:rFonts w:ascii="Candara" w:hAnsi="Candara"/>
          <w:color w:val="0D0D0D" w:themeColor="text1" w:themeTint="F2"/>
        </w:rPr>
        <w:endnoteReference w:id="67"/>
      </w:r>
      <w:r w:rsidR="00FA4530" w:rsidRPr="003427A6">
        <w:rPr>
          <w:rFonts w:ascii="Candara" w:hAnsi="Candara"/>
          <w:color w:val="0D0D0D" w:themeColor="text1" w:themeTint="F2"/>
        </w:rPr>
        <w:t xml:space="preserve"> </w:t>
      </w:r>
      <w:r w:rsidR="00C52E59" w:rsidRPr="003427A6">
        <w:rPr>
          <w:rStyle w:val="af8"/>
          <w:rFonts w:ascii="Candara" w:hAnsi="Candara"/>
          <w:color w:val="0D0D0D" w:themeColor="text1" w:themeTint="F2"/>
        </w:rPr>
        <w:endnoteReference w:id="68"/>
      </w:r>
      <w:r w:rsidR="00C52E59" w:rsidRPr="003427A6">
        <w:rPr>
          <w:rFonts w:ascii="Candara" w:hAnsi="Candara"/>
          <w:color w:val="0D0D0D" w:themeColor="text1" w:themeTint="F2"/>
        </w:rPr>
        <w:t xml:space="preserve"> </w:t>
      </w:r>
      <w:r w:rsidR="00CA1AA3" w:rsidRPr="003427A6">
        <w:rPr>
          <w:rFonts w:ascii="Candara" w:hAnsi="Candara"/>
          <w:color w:val="0D0D0D" w:themeColor="text1" w:themeTint="F2"/>
        </w:rPr>
        <w:t>Under normal conditions, NHE3 is responsible for a considerable amount of sodium reabsorption in the proximal tubule.</w:t>
      </w:r>
      <w:bookmarkStart w:id="16" w:name="_Ref530982052"/>
      <w:r w:rsidR="00CA1AA3" w:rsidRPr="003427A6">
        <w:rPr>
          <w:rStyle w:val="af8"/>
          <w:rFonts w:ascii="Candara" w:hAnsi="Candara"/>
          <w:color w:val="0D0D0D" w:themeColor="text1" w:themeTint="F2"/>
        </w:rPr>
        <w:endnoteReference w:id="69"/>
      </w:r>
      <w:bookmarkEnd w:id="16"/>
      <w:r w:rsidR="00CA1AA3" w:rsidRPr="003427A6">
        <w:rPr>
          <w:rFonts w:ascii="Candara" w:hAnsi="Candara"/>
          <w:color w:val="0D0D0D" w:themeColor="text1" w:themeTint="F2"/>
        </w:rPr>
        <w:t xml:space="preserve">  </w:t>
      </w:r>
      <w:r w:rsidR="00F54D57" w:rsidRPr="003427A6">
        <w:rPr>
          <w:rFonts w:ascii="Candara" w:hAnsi="Candara"/>
          <w:color w:val="0D0D0D" w:themeColor="text1" w:themeTint="F2"/>
        </w:rPr>
        <w:t>NHE3 transcription is upregulated by angiotensin II</w:t>
      </w:r>
      <w:r w:rsidR="007F5903" w:rsidRPr="003427A6">
        <w:rPr>
          <w:rFonts w:ascii="Candara" w:hAnsi="Candara"/>
          <w:color w:val="0D0D0D" w:themeColor="text1" w:themeTint="F2"/>
        </w:rPr>
        <w:t xml:space="preserve"> </w:t>
      </w:r>
      <w:r w:rsidR="00FD27D0" w:rsidRPr="003427A6">
        <w:rPr>
          <w:rFonts w:ascii="Candara" w:hAnsi="Candara"/>
          <w:color w:val="0D0D0D" w:themeColor="text1" w:themeTint="F2"/>
        </w:rPr>
        <w:t>which itself is activated in CKD and HF</w:t>
      </w:r>
      <w:r w:rsidR="00F54D57" w:rsidRPr="003427A6">
        <w:rPr>
          <w:rFonts w:ascii="Candara" w:hAnsi="Candara"/>
          <w:color w:val="0D0D0D" w:themeColor="text1" w:themeTint="F2"/>
        </w:rPr>
        <w:t xml:space="preserve">.  </w:t>
      </w:r>
      <w:r w:rsidR="00FA4530" w:rsidRPr="003427A6">
        <w:rPr>
          <w:rFonts w:ascii="Candara" w:hAnsi="Candara"/>
          <w:color w:val="0D0D0D" w:themeColor="text1" w:themeTint="F2"/>
        </w:rPr>
        <w:t>In a HF rat model, the upregulation of NHE3 likely contribute</w:t>
      </w:r>
      <w:r w:rsidR="00712951" w:rsidRPr="003427A6">
        <w:rPr>
          <w:rFonts w:ascii="Candara" w:hAnsi="Candara"/>
          <w:color w:val="0D0D0D" w:themeColor="text1" w:themeTint="F2"/>
        </w:rPr>
        <w:t>d</w:t>
      </w:r>
      <w:r w:rsidR="00FA4530" w:rsidRPr="003427A6">
        <w:rPr>
          <w:rFonts w:ascii="Candara" w:hAnsi="Candara"/>
          <w:color w:val="0D0D0D" w:themeColor="text1" w:themeTint="F2"/>
        </w:rPr>
        <w:t xml:space="preserve"> to attenu</w:t>
      </w:r>
      <w:r w:rsidR="00A06AAE" w:rsidRPr="003427A6">
        <w:rPr>
          <w:rFonts w:ascii="Candara" w:hAnsi="Candara"/>
          <w:color w:val="0D0D0D" w:themeColor="text1" w:themeTint="F2"/>
        </w:rPr>
        <w:t>a</w:t>
      </w:r>
      <w:r w:rsidR="00FD27D0" w:rsidRPr="003427A6">
        <w:rPr>
          <w:rFonts w:ascii="Candara" w:hAnsi="Candara"/>
          <w:color w:val="0D0D0D" w:themeColor="text1" w:themeTint="F2"/>
        </w:rPr>
        <w:t>t</w:t>
      </w:r>
      <w:r w:rsidR="00FA4530" w:rsidRPr="003427A6">
        <w:rPr>
          <w:rFonts w:ascii="Candara" w:hAnsi="Candara"/>
          <w:color w:val="0D0D0D" w:themeColor="text1" w:themeTint="F2"/>
        </w:rPr>
        <w:t>ion of the natriuresis and volume expansion.</w:t>
      </w:r>
      <w:r w:rsidR="00C52E59" w:rsidRPr="003427A6">
        <w:rPr>
          <w:rStyle w:val="af8"/>
          <w:rFonts w:ascii="Candara" w:hAnsi="Candara"/>
          <w:color w:val="0D0D0D" w:themeColor="text1" w:themeTint="F2"/>
        </w:rPr>
        <w:endnoteReference w:id="70"/>
      </w:r>
      <w:r w:rsidR="00C52E59" w:rsidRPr="003427A6">
        <w:rPr>
          <w:rFonts w:ascii="Candara" w:hAnsi="Candara"/>
          <w:color w:val="0D0D0D" w:themeColor="text1" w:themeTint="F2"/>
        </w:rPr>
        <w:t xml:space="preserve">  </w:t>
      </w:r>
      <w:r w:rsidR="00FA4530" w:rsidRPr="003427A6">
        <w:rPr>
          <w:rFonts w:ascii="Candara" w:hAnsi="Candara"/>
          <w:color w:val="0D0D0D" w:themeColor="text1" w:themeTint="F2"/>
        </w:rPr>
        <w:t>SGLT2</w:t>
      </w:r>
      <w:r w:rsidR="003B191E" w:rsidRPr="003427A6">
        <w:rPr>
          <w:rFonts w:ascii="Candara" w:hAnsi="Candara"/>
          <w:color w:val="0D0D0D" w:themeColor="text1" w:themeTint="F2"/>
        </w:rPr>
        <w:t>i</w:t>
      </w:r>
      <w:r w:rsidR="00FA4530" w:rsidRPr="003427A6">
        <w:rPr>
          <w:rFonts w:ascii="Candara" w:hAnsi="Candara"/>
          <w:color w:val="0D0D0D" w:themeColor="text1" w:themeTint="F2"/>
        </w:rPr>
        <w:t xml:space="preserve"> </w:t>
      </w:r>
      <w:r w:rsidR="00712951" w:rsidRPr="003427A6">
        <w:rPr>
          <w:rFonts w:ascii="Candara" w:hAnsi="Candara"/>
          <w:color w:val="0D0D0D" w:themeColor="text1" w:themeTint="F2"/>
        </w:rPr>
        <w:t>has resulted</w:t>
      </w:r>
      <w:r w:rsidR="00FA4530" w:rsidRPr="003427A6">
        <w:rPr>
          <w:rFonts w:ascii="Candara" w:hAnsi="Candara"/>
          <w:color w:val="0D0D0D" w:themeColor="text1" w:themeTint="F2"/>
        </w:rPr>
        <w:t xml:space="preserve"> in decreased activity</w:t>
      </w:r>
      <w:r w:rsidR="00C52E59" w:rsidRPr="003427A6">
        <w:rPr>
          <w:rFonts w:ascii="Candara" w:hAnsi="Candara"/>
          <w:color w:val="0D0D0D" w:themeColor="text1" w:themeTint="F2"/>
        </w:rPr>
        <w:t xml:space="preserve"> and function of</w:t>
      </w:r>
      <w:r w:rsidR="00FA4530" w:rsidRPr="003427A6">
        <w:rPr>
          <w:rFonts w:ascii="Candara" w:hAnsi="Candara"/>
          <w:color w:val="0D0D0D" w:themeColor="text1" w:themeTint="F2"/>
        </w:rPr>
        <w:t xml:space="preserve"> NHE3, possibly contributing to natriuresis, reduction in blood pressure</w:t>
      </w:r>
      <w:r w:rsidR="00C52E59" w:rsidRPr="003427A6">
        <w:rPr>
          <w:rFonts w:ascii="Candara" w:hAnsi="Candara"/>
          <w:color w:val="0D0D0D" w:themeColor="text1" w:themeTint="F2"/>
        </w:rPr>
        <w:t>, and a tissue protective effect at the level of the renal tubule</w:t>
      </w:r>
      <w:r w:rsidR="00FA4530" w:rsidRPr="003427A6">
        <w:rPr>
          <w:rFonts w:ascii="Candara" w:hAnsi="Candara"/>
          <w:color w:val="0D0D0D" w:themeColor="text1" w:themeTint="F2"/>
        </w:rPr>
        <w:t>.</w:t>
      </w:r>
      <w:r w:rsidR="00C52E59" w:rsidRPr="003427A6">
        <w:rPr>
          <w:rStyle w:val="af8"/>
          <w:rFonts w:ascii="Candara" w:hAnsi="Candara"/>
          <w:color w:val="0D0D0D" w:themeColor="text1" w:themeTint="F2"/>
        </w:rPr>
        <w:endnoteReference w:id="71"/>
      </w:r>
      <w:r w:rsidR="00C52E59" w:rsidRPr="003427A6">
        <w:rPr>
          <w:rFonts w:ascii="Candara" w:hAnsi="Candara"/>
          <w:color w:val="0D0D0D" w:themeColor="text1" w:themeTint="F2"/>
        </w:rPr>
        <w:t xml:space="preserve"> </w:t>
      </w:r>
      <w:r w:rsidR="00577C70" w:rsidRPr="003427A6">
        <w:rPr>
          <w:rFonts w:ascii="Candara" w:hAnsi="Candara"/>
          <w:color w:val="0D0D0D" w:themeColor="text1" w:themeTint="F2"/>
        </w:rPr>
        <w:t>As with NHE1, glucose binds to NHE3, and while one would expect SGLT2i to bind directly to NHE3, at the time of this writing, we could find no report of binding models or attempted provocative studies of SGLT2i on NHE3.</w:t>
      </w:r>
      <w:r w:rsidR="00577C70" w:rsidRPr="003427A6">
        <w:rPr>
          <w:rFonts w:ascii="Candara" w:hAnsi="Candara"/>
          <w:color w:val="0D0D0D" w:themeColor="text1" w:themeTint="F2"/>
        </w:rPr>
        <w:fldChar w:fldCharType="begin"/>
      </w:r>
      <w:r w:rsidR="00577C70" w:rsidRPr="003427A6">
        <w:rPr>
          <w:rFonts w:ascii="Candara" w:hAnsi="Candara"/>
          <w:color w:val="0D0D0D" w:themeColor="text1" w:themeTint="F2"/>
        </w:rPr>
        <w:instrText xml:space="preserve"> NOTEREF _Ref531095011 \f \h </w:instrText>
      </w:r>
      <w:r w:rsidR="00623475" w:rsidRPr="003427A6">
        <w:rPr>
          <w:rFonts w:ascii="Candara" w:hAnsi="Candara"/>
          <w:color w:val="0D0D0D" w:themeColor="text1" w:themeTint="F2"/>
        </w:rPr>
        <w:instrText xml:space="preserve"> \* MERGEFORMAT </w:instrText>
      </w:r>
      <w:r w:rsidR="00577C70" w:rsidRPr="003427A6">
        <w:rPr>
          <w:rFonts w:ascii="Candara" w:hAnsi="Candara"/>
          <w:color w:val="0D0D0D" w:themeColor="text1" w:themeTint="F2"/>
        </w:rPr>
      </w:r>
      <w:r w:rsidR="00577C70" w:rsidRPr="003427A6">
        <w:rPr>
          <w:rFonts w:ascii="Candara" w:hAnsi="Candara"/>
          <w:color w:val="0D0D0D" w:themeColor="text1" w:themeTint="F2"/>
        </w:rPr>
        <w:fldChar w:fldCharType="separate"/>
      </w:r>
      <w:r w:rsidR="00577C70" w:rsidRPr="003427A6">
        <w:rPr>
          <w:rStyle w:val="af8"/>
        </w:rPr>
        <w:t>39</w:t>
      </w:r>
      <w:r w:rsidR="00577C70" w:rsidRPr="003427A6">
        <w:rPr>
          <w:rFonts w:ascii="Candara" w:hAnsi="Candara"/>
          <w:color w:val="0D0D0D" w:themeColor="text1" w:themeTint="F2"/>
        </w:rPr>
        <w:fldChar w:fldCharType="end"/>
      </w:r>
      <w:r w:rsidR="00577C70" w:rsidRPr="003427A6">
        <w:rPr>
          <w:rFonts w:ascii="Candara" w:hAnsi="Candara"/>
          <w:color w:val="0D0D0D" w:themeColor="text1" w:themeTint="F2"/>
        </w:rPr>
        <w:t xml:space="preserve">   </w:t>
      </w:r>
      <w:r w:rsidR="00FD27D0" w:rsidRPr="003427A6">
        <w:rPr>
          <w:rFonts w:ascii="Candara" w:hAnsi="Candara"/>
          <w:color w:val="0D0D0D" w:themeColor="text1" w:themeTint="F2"/>
        </w:rPr>
        <w:t>NHE3 inhibition may work in concert with natriuresis and glycosuria to trigger tubuloglomerular feedback and reduce glomerular blood flow.</w:t>
      </w:r>
      <w:r w:rsidR="0054065C" w:rsidRPr="003427A6">
        <w:rPr>
          <w:rStyle w:val="af8"/>
          <w:rFonts w:ascii="Candara" w:hAnsi="Candara"/>
          <w:color w:val="0D0D0D" w:themeColor="text1" w:themeTint="F2"/>
        </w:rPr>
        <w:endnoteReference w:id="72"/>
      </w:r>
      <w:r w:rsidR="00FD27D0" w:rsidRPr="003427A6">
        <w:rPr>
          <w:rFonts w:ascii="Candara" w:hAnsi="Candara"/>
          <w:color w:val="0D0D0D" w:themeColor="text1" w:themeTint="F2"/>
        </w:rPr>
        <w:t xml:space="preserve">  By this mechanism, the hyperfiltration glomerular injury in T2DM may be attenuated. </w:t>
      </w:r>
    </w:p>
    <w:p w14:paraId="12FD1E8E" w14:textId="77777777" w:rsidR="00FA4530" w:rsidRPr="003427A6" w:rsidRDefault="00FA4530" w:rsidP="009B282B">
      <w:pPr>
        <w:spacing w:line="360" w:lineRule="auto"/>
        <w:rPr>
          <w:rFonts w:ascii="Candara" w:hAnsi="Candara"/>
        </w:rPr>
      </w:pPr>
    </w:p>
    <w:p w14:paraId="31EC9626" w14:textId="73D3A03A" w:rsidR="00CA1F57" w:rsidRPr="003427A6" w:rsidRDefault="002A49B9" w:rsidP="009B282B">
      <w:pPr>
        <w:spacing w:line="360" w:lineRule="auto"/>
        <w:rPr>
          <w:rFonts w:ascii="Candara" w:hAnsi="Candara"/>
          <w:b/>
        </w:rPr>
      </w:pPr>
      <w:r w:rsidRPr="003427A6">
        <w:rPr>
          <w:rFonts w:ascii="Candara" w:hAnsi="Candara"/>
          <w:b/>
        </w:rPr>
        <w:t>SGLT2</w:t>
      </w:r>
      <w:r w:rsidR="004D5B40" w:rsidRPr="003427A6">
        <w:rPr>
          <w:rFonts w:ascii="Candara" w:hAnsi="Candara"/>
          <w:b/>
        </w:rPr>
        <w:t>i</w:t>
      </w:r>
      <w:r w:rsidRPr="003427A6">
        <w:rPr>
          <w:rFonts w:ascii="Candara" w:hAnsi="Candara"/>
          <w:b/>
        </w:rPr>
        <w:t xml:space="preserve"> AND SODIUM</w:t>
      </w:r>
      <w:r w:rsidR="005508CB" w:rsidRPr="003427A6">
        <w:rPr>
          <w:rFonts w:ascii="Candara" w:hAnsi="Candara"/>
          <w:b/>
        </w:rPr>
        <w:t>-</w:t>
      </w:r>
      <w:r w:rsidRPr="003427A6">
        <w:rPr>
          <w:rFonts w:ascii="Candara" w:hAnsi="Candara"/>
          <w:b/>
        </w:rPr>
        <w:t>PROTON ANTIPORTER</w:t>
      </w:r>
      <w:r w:rsidR="00C5008F" w:rsidRPr="003427A6">
        <w:rPr>
          <w:rFonts w:ascii="Candara" w:hAnsi="Candara"/>
          <w:b/>
        </w:rPr>
        <w:t xml:space="preserve"> (EXCHANGER) MEDIATED</w:t>
      </w:r>
      <w:r w:rsidR="005508CB" w:rsidRPr="003427A6">
        <w:rPr>
          <w:rFonts w:ascii="Candara" w:hAnsi="Candara"/>
          <w:b/>
        </w:rPr>
        <w:t xml:space="preserve"> EFFECTS</w:t>
      </w:r>
      <w:r w:rsidRPr="003427A6">
        <w:rPr>
          <w:rFonts w:ascii="Candara" w:hAnsi="Candara"/>
          <w:b/>
        </w:rPr>
        <w:t xml:space="preserve"> IN OTHER ORGAN SYSTEMS</w:t>
      </w:r>
    </w:p>
    <w:p w14:paraId="7F8D25AE" w14:textId="77777777" w:rsidR="00F0304D" w:rsidRPr="003427A6" w:rsidRDefault="00F0304D" w:rsidP="009B282B">
      <w:pPr>
        <w:spacing w:line="360" w:lineRule="auto"/>
        <w:rPr>
          <w:rFonts w:ascii="Candara" w:hAnsi="Candara"/>
          <w:b/>
        </w:rPr>
      </w:pPr>
    </w:p>
    <w:p w14:paraId="0FA09F32" w14:textId="6B765215" w:rsidR="003C182D" w:rsidRPr="003427A6" w:rsidRDefault="00E8605A" w:rsidP="00A43414">
      <w:pPr>
        <w:spacing w:line="360" w:lineRule="auto"/>
        <w:contextualSpacing/>
        <w:rPr>
          <w:rFonts w:ascii="Candara" w:eastAsia="Times New Roman" w:hAnsi="Candara" w:cs="Times New Roman"/>
        </w:rPr>
      </w:pPr>
      <w:r w:rsidRPr="003427A6">
        <w:rPr>
          <w:rFonts w:ascii="Candara" w:hAnsi="Candara"/>
          <w:b/>
          <w:i/>
        </w:rPr>
        <w:t>Hematopoietic</w:t>
      </w:r>
      <w:r w:rsidR="00377018" w:rsidRPr="003427A6">
        <w:rPr>
          <w:rFonts w:ascii="Candara" w:hAnsi="Candara"/>
          <w:b/>
          <w:i/>
        </w:rPr>
        <w:t xml:space="preserve"> System</w:t>
      </w:r>
      <w:r w:rsidR="00FC4CE1" w:rsidRPr="003427A6">
        <w:rPr>
          <w:rFonts w:ascii="Candara" w:hAnsi="Candara"/>
        </w:rPr>
        <w:t>:</w:t>
      </w:r>
      <w:r w:rsidR="001F1DB4" w:rsidRPr="003427A6">
        <w:rPr>
          <w:rFonts w:ascii="Candara" w:hAnsi="Candara"/>
        </w:rPr>
        <w:t xml:space="preserve"> SGLT</w:t>
      </w:r>
      <w:r w:rsidR="00377018" w:rsidRPr="003427A6">
        <w:rPr>
          <w:rFonts w:ascii="Candara" w:hAnsi="Candara"/>
        </w:rPr>
        <w:t>2i</w:t>
      </w:r>
      <w:r w:rsidR="001F1DB4" w:rsidRPr="003427A6">
        <w:rPr>
          <w:rFonts w:ascii="Candara" w:hAnsi="Candara"/>
        </w:rPr>
        <w:t xml:space="preserve"> result in increased </w:t>
      </w:r>
      <w:r w:rsidR="003C182D" w:rsidRPr="003427A6">
        <w:rPr>
          <w:rFonts w:ascii="Candara" w:hAnsi="Candara"/>
        </w:rPr>
        <w:t xml:space="preserve">hemoglobin and </w:t>
      </w:r>
      <w:r w:rsidR="001F1DB4" w:rsidRPr="003427A6">
        <w:rPr>
          <w:rFonts w:ascii="Candara" w:hAnsi="Candara"/>
        </w:rPr>
        <w:t>hematocrit levels.</w:t>
      </w:r>
      <w:r w:rsidR="002A49B9" w:rsidRPr="003427A6">
        <w:rPr>
          <w:rStyle w:val="af8"/>
          <w:rFonts w:ascii="Candara" w:hAnsi="Candara"/>
        </w:rPr>
        <w:endnoteReference w:id="73"/>
      </w:r>
      <w:r w:rsidR="001F1DB4" w:rsidRPr="003427A6">
        <w:rPr>
          <w:rFonts w:ascii="Candara" w:hAnsi="Candara"/>
        </w:rPr>
        <w:t xml:space="preserve"> </w:t>
      </w:r>
      <w:r w:rsidR="00A43414" w:rsidRPr="003427A6">
        <w:rPr>
          <w:rFonts w:ascii="Candara" w:eastAsia="Times New Roman" w:hAnsi="Candara" w:cs="Times New Roman"/>
        </w:rPr>
        <w:t xml:space="preserve">Univariate analysis of potential mediators for empagliflozin's </w:t>
      </w:r>
      <w:r w:rsidR="005B3EAA" w:rsidRPr="003427A6">
        <w:rPr>
          <w:rFonts w:ascii="Candara" w:eastAsia="Times New Roman" w:hAnsi="Candara" w:cs="Times New Roman"/>
        </w:rPr>
        <w:t xml:space="preserve">reduction in </w:t>
      </w:r>
      <w:r w:rsidR="003B191E" w:rsidRPr="003427A6">
        <w:rPr>
          <w:rFonts w:ascii="Candara" w:eastAsia="Times New Roman" w:hAnsi="Candara" w:cs="Times New Roman"/>
        </w:rPr>
        <w:t>cardiovascular</w:t>
      </w:r>
      <w:r w:rsidR="005B3EAA" w:rsidRPr="003427A6">
        <w:rPr>
          <w:rFonts w:ascii="Candara" w:eastAsia="Times New Roman" w:hAnsi="Candara" w:cs="Times New Roman"/>
        </w:rPr>
        <w:t xml:space="preserve"> </w:t>
      </w:r>
      <w:r w:rsidR="00A43414" w:rsidRPr="003427A6">
        <w:rPr>
          <w:rFonts w:ascii="Candara" w:eastAsia="Times New Roman" w:hAnsi="Candara" w:cs="Times New Roman"/>
        </w:rPr>
        <w:t>demonstrated that hematocrit</w:t>
      </w:r>
      <w:r w:rsidR="008E4AB0" w:rsidRPr="003427A6">
        <w:rPr>
          <w:rFonts w:ascii="Candara" w:eastAsia="Times New Roman" w:hAnsi="Candara" w:cs="Times New Roman"/>
        </w:rPr>
        <w:t xml:space="preserve"> (increase of 5%)</w:t>
      </w:r>
      <w:r w:rsidR="00094952" w:rsidRPr="003427A6">
        <w:rPr>
          <w:rFonts w:ascii="Candara" w:eastAsia="Times New Roman" w:hAnsi="Candara" w:cs="Times New Roman"/>
        </w:rPr>
        <w:t xml:space="preserve"> – a </w:t>
      </w:r>
      <w:bookmarkStart w:id="17" w:name="_Hlk2491105"/>
      <w:r w:rsidR="00094952" w:rsidRPr="003427A6">
        <w:rPr>
          <w:rFonts w:ascii="Candara" w:eastAsia="Times New Roman" w:hAnsi="Candara" w:cs="Times New Roman"/>
        </w:rPr>
        <w:t>surrogate for</w:t>
      </w:r>
      <w:r w:rsidR="00093A03" w:rsidRPr="003427A6">
        <w:rPr>
          <w:rFonts w:ascii="Candara" w:eastAsia="Times New Roman" w:hAnsi="Candara" w:cs="Times New Roman"/>
        </w:rPr>
        <w:t xml:space="preserve"> both hemoglobin concentration and plasma</w:t>
      </w:r>
      <w:r w:rsidR="00094952" w:rsidRPr="003427A6">
        <w:rPr>
          <w:rFonts w:ascii="Candara" w:eastAsia="Times New Roman" w:hAnsi="Candara" w:cs="Times New Roman"/>
        </w:rPr>
        <w:t xml:space="preserve"> volume</w:t>
      </w:r>
      <w:r w:rsidR="00527B7D" w:rsidRPr="003427A6">
        <w:rPr>
          <w:rFonts w:ascii="Candara" w:eastAsia="Times New Roman" w:hAnsi="Candara" w:cs="Times New Roman"/>
        </w:rPr>
        <w:t xml:space="preserve"> reduction</w:t>
      </w:r>
      <w:r w:rsidR="00094952" w:rsidRPr="003427A6">
        <w:rPr>
          <w:rFonts w:ascii="Candara" w:eastAsia="Times New Roman" w:hAnsi="Candara" w:cs="Times New Roman"/>
        </w:rPr>
        <w:t xml:space="preserve"> –</w:t>
      </w:r>
      <w:r w:rsidR="00A43414" w:rsidRPr="003427A6">
        <w:rPr>
          <w:rFonts w:ascii="Candara" w:eastAsia="Times New Roman" w:hAnsi="Candara" w:cs="Times New Roman"/>
        </w:rPr>
        <w:t xml:space="preserve"> </w:t>
      </w:r>
      <w:bookmarkEnd w:id="17"/>
      <w:r w:rsidR="00093A03" w:rsidRPr="003427A6">
        <w:rPr>
          <w:rFonts w:ascii="Candara" w:eastAsia="Times New Roman" w:hAnsi="Candara" w:cs="Times New Roman"/>
        </w:rPr>
        <w:t xml:space="preserve">was associated with a 52% </w:t>
      </w:r>
      <w:r w:rsidR="00712951" w:rsidRPr="003427A6">
        <w:rPr>
          <w:rFonts w:ascii="Candara" w:eastAsia="Times New Roman" w:hAnsi="Candara" w:cs="Times New Roman"/>
        </w:rPr>
        <w:t xml:space="preserve">risk reduction </w:t>
      </w:r>
      <w:r w:rsidR="003B191E" w:rsidRPr="003427A6">
        <w:rPr>
          <w:rFonts w:ascii="Candara" w:eastAsia="Times New Roman" w:hAnsi="Candara" w:cs="Times New Roman"/>
        </w:rPr>
        <w:t xml:space="preserve">cardiovascular </w:t>
      </w:r>
      <w:r w:rsidR="00A43414" w:rsidRPr="003427A6">
        <w:rPr>
          <w:rFonts w:ascii="Candara" w:eastAsia="Times New Roman" w:hAnsi="Candara" w:cs="Times New Roman"/>
        </w:rPr>
        <w:t>mortality</w:t>
      </w:r>
      <w:r w:rsidR="009F5E69" w:rsidRPr="003427A6">
        <w:rPr>
          <w:rFonts w:ascii="Candara" w:eastAsia="Times New Roman" w:hAnsi="Candara" w:cs="Times New Roman"/>
        </w:rPr>
        <w:t>, however, the associations with both lower and higher hemoglobin concentrations is complex and this relationship may be spurious</w:t>
      </w:r>
      <w:r w:rsidR="00A43414" w:rsidRPr="003427A6">
        <w:rPr>
          <w:rFonts w:ascii="Candara" w:eastAsia="Times New Roman" w:hAnsi="Candara" w:cs="Times New Roman"/>
        </w:rPr>
        <w:t>.</w:t>
      </w:r>
      <w:r w:rsidR="002A49B9" w:rsidRPr="003427A6">
        <w:rPr>
          <w:rStyle w:val="af8"/>
          <w:rFonts w:ascii="Candara" w:eastAsia="Times New Roman" w:hAnsi="Candara" w:cs="Times New Roman"/>
        </w:rPr>
        <w:endnoteReference w:id="74"/>
      </w:r>
      <w:r w:rsidR="00A43414" w:rsidRPr="003427A6">
        <w:rPr>
          <w:rFonts w:ascii="Candara" w:eastAsia="Times New Roman" w:hAnsi="Candara" w:cs="Times New Roman"/>
        </w:rPr>
        <w:t xml:space="preserve"> </w:t>
      </w:r>
      <w:r w:rsidR="009F5E69" w:rsidRPr="003427A6">
        <w:rPr>
          <w:rStyle w:val="af8"/>
          <w:rFonts w:ascii="Candara" w:eastAsia="Times New Roman" w:hAnsi="Candara" w:cs="Times New Roman"/>
        </w:rPr>
        <w:endnoteReference w:id="75"/>
      </w:r>
      <w:r w:rsidR="009F5E69" w:rsidRPr="003427A6">
        <w:rPr>
          <w:rFonts w:ascii="Candara" w:eastAsia="Times New Roman" w:hAnsi="Candara" w:cs="Times New Roman"/>
        </w:rPr>
        <w:t xml:space="preserve"> </w:t>
      </w:r>
      <w:r w:rsidR="009F5E69" w:rsidRPr="003427A6">
        <w:rPr>
          <w:rStyle w:val="af8"/>
          <w:rFonts w:ascii="Candara" w:eastAsia="Times New Roman" w:hAnsi="Candara" w:cs="Times New Roman"/>
        </w:rPr>
        <w:endnoteReference w:id="76"/>
      </w:r>
      <w:r w:rsidR="009F5E69" w:rsidRPr="003427A6">
        <w:rPr>
          <w:rFonts w:ascii="Candara" w:eastAsia="Times New Roman" w:hAnsi="Candara" w:cs="Times New Roman"/>
        </w:rPr>
        <w:t xml:space="preserve"> </w:t>
      </w:r>
      <w:r w:rsidR="001F1DB4" w:rsidRPr="003427A6">
        <w:rPr>
          <w:rFonts w:ascii="Candara" w:hAnsi="Candara"/>
        </w:rPr>
        <w:t xml:space="preserve">This </w:t>
      </w:r>
      <w:r w:rsidR="002A49B9" w:rsidRPr="003427A6">
        <w:rPr>
          <w:rFonts w:ascii="Candara" w:hAnsi="Candara"/>
        </w:rPr>
        <w:t xml:space="preserve">increase in </w:t>
      </w:r>
      <w:r w:rsidR="002A49B9" w:rsidRPr="003427A6">
        <w:rPr>
          <w:rFonts w:ascii="Candara" w:hAnsi="Candara"/>
        </w:rPr>
        <w:lastRenderedPageBreak/>
        <w:t>hemoglobin and hematocrit has been hypothesized to also coincide with the renal tubular benefit of SGLT2i.</w:t>
      </w:r>
      <w:r w:rsidR="002A49B9" w:rsidRPr="003427A6">
        <w:rPr>
          <w:rStyle w:val="af8"/>
          <w:rFonts w:ascii="Candara" w:hAnsi="Candara"/>
        </w:rPr>
        <w:endnoteReference w:id="77"/>
      </w:r>
      <w:r w:rsidR="002A49B9" w:rsidRPr="003427A6">
        <w:rPr>
          <w:rFonts w:ascii="Candara" w:hAnsi="Candara"/>
        </w:rPr>
        <w:t xml:space="preserve">   </w:t>
      </w:r>
      <w:r w:rsidR="003115DA" w:rsidRPr="003427A6">
        <w:rPr>
          <w:rFonts w:ascii="Candara" w:hAnsi="Candara"/>
        </w:rPr>
        <w:t>Erythroblasts and reticulocytes express NHE 1 which is reduced as the red cell matures.</w:t>
      </w:r>
      <w:r w:rsidR="003115DA" w:rsidRPr="003427A6">
        <w:rPr>
          <w:rStyle w:val="af8"/>
          <w:rFonts w:ascii="Candara" w:hAnsi="Candara"/>
        </w:rPr>
        <w:endnoteReference w:id="78"/>
      </w:r>
      <w:r w:rsidR="003115DA" w:rsidRPr="003427A6">
        <w:rPr>
          <w:rFonts w:ascii="Candara" w:hAnsi="Candara"/>
        </w:rPr>
        <w:t xml:space="preserve">  I</w:t>
      </w:r>
      <w:r w:rsidR="002A49B9" w:rsidRPr="003427A6">
        <w:rPr>
          <w:rFonts w:ascii="Candara" w:hAnsi="Candara"/>
        </w:rPr>
        <w:t>t has been demonstrated that NHE participates in the regulation of hematopoiesis.</w:t>
      </w:r>
      <w:r w:rsidR="00377018" w:rsidRPr="003427A6">
        <w:rPr>
          <w:rStyle w:val="af8"/>
          <w:rFonts w:ascii="Candara" w:hAnsi="Candara"/>
        </w:rPr>
        <w:endnoteReference w:id="79"/>
      </w:r>
      <w:r w:rsidR="002A49B9" w:rsidRPr="003427A6">
        <w:rPr>
          <w:rFonts w:ascii="Candara" w:hAnsi="Candara"/>
        </w:rPr>
        <w:t xml:space="preserve"> </w:t>
      </w:r>
      <w:r w:rsidR="00377018" w:rsidRPr="003427A6">
        <w:rPr>
          <w:rFonts w:ascii="Candara" w:hAnsi="Candara"/>
        </w:rPr>
        <w:t xml:space="preserve"> </w:t>
      </w:r>
      <w:r w:rsidR="003C182D" w:rsidRPr="003427A6">
        <w:rPr>
          <w:rFonts w:ascii="Candara" w:hAnsi="Candara"/>
        </w:rPr>
        <w:t>Hemoglobin provides better tissue oxygenation and is regulated through hypoxia-inducible factor 1-alpha expression and subsequent erythropoietin secretion, factors</w:t>
      </w:r>
      <w:r w:rsidR="00093A03" w:rsidRPr="003427A6">
        <w:rPr>
          <w:rFonts w:ascii="Candara" w:hAnsi="Candara"/>
        </w:rPr>
        <w:t xml:space="preserve"> that </w:t>
      </w:r>
      <w:r w:rsidR="003C182D" w:rsidRPr="003427A6">
        <w:rPr>
          <w:rFonts w:ascii="Candara" w:hAnsi="Candara"/>
        </w:rPr>
        <w:t xml:space="preserve"> influenced by SGLT2</w:t>
      </w:r>
      <w:r w:rsidR="00377018" w:rsidRPr="003427A6">
        <w:rPr>
          <w:rFonts w:ascii="Candara" w:hAnsi="Candara"/>
        </w:rPr>
        <w:t>i inhibitio</w:t>
      </w:r>
      <w:r w:rsidR="00FD27D0" w:rsidRPr="003427A6">
        <w:rPr>
          <w:rFonts w:ascii="Candara" w:hAnsi="Candara"/>
        </w:rPr>
        <w:t>n</w:t>
      </w:r>
      <w:r w:rsidR="00377018" w:rsidRPr="003427A6">
        <w:rPr>
          <w:rFonts w:ascii="Candara" w:hAnsi="Candara"/>
        </w:rPr>
        <w:t xml:space="preserve"> of NHE</w:t>
      </w:r>
      <w:r w:rsidR="003115DA" w:rsidRPr="003427A6">
        <w:rPr>
          <w:rFonts w:ascii="Candara" w:hAnsi="Candara"/>
        </w:rPr>
        <w:t>1</w:t>
      </w:r>
      <w:r w:rsidR="003C182D" w:rsidRPr="003427A6">
        <w:rPr>
          <w:rFonts w:ascii="Candara" w:hAnsi="Candara"/>
        </w:rPr>
        <w:t>.</w:t>
      </w:r>
      <w:r w:rsidR="00377018" w:rsidRPr="003427A6">
        <w:rPr>
          <w:rStyle w:val="af8"/>
          <w:rFonts w:ascii="Candara" w:hAnsi="Candara"/>
        </w:rPr>
        <w:endnoteReference w:id="80"/>
      </w:r>
      <w:r w:rsidR="00E930AE" w:rsidRPr="003427A6">
        <w:rPr>
          <w:rFonts w:ascii="Candara" w:eastAsia="Times New Roman" w:hAnsi="Candara" w:cs="Times New Roman"/>
        </w:rPr>
        <w:t xml:space="preserve"> Note that while the rise in hematocrit was thought to increase stroke risk, a post-hoc analysis of EMPA-REG OUTCOME found no elevated risk</w:t>
      </w:r>
      <w:r w:rsidR="00527B7D" w:rsidRPr="003427A6">
        <w:rPr>
          <w:rFonts w:ascii="Candara" w:eastAsia="Times New Roman" w:hAnsi="Candara" w:cs="Times New Roman"/>
        </w:rPr>
        <w:t xml:space="preserve"> and CVD-REAL observed a reduced risk</w:t>
      </w:r>
      <w:r w:rsidR="00E930AE" w:rsidRPr="003427A6">
        <w:rPr>
          <w:rFonts w:ascii="Candara" w:eastAsia="Times New Roman" w:hAnsi="Candara" w:cs="Times New Roman"/>
        </w:rPr>
        <w:t>.</w:t>
      </w:r>
      <w:r w:rsidR="00A13EFD" w:rsidRPr="003427A6">
        <w:rPr>
          <w:rStyle w:val="af8"/>
          <w:rFonts w:ascii="Candara" w:eastAsia="Times New Roman" w:hAnsi="Candara" w:cs="Times New Roman"/>
        </w:rPr>
        <w:endnoteReference w:id="81"/>
      </w:r>
      <w:r w:rsidR="00642CF9" w:rsidRPr="003427A6">
        <w:rPr>
          <w:rFonts w:ascii="Candara" w:eastAsia="Times New Roman" w:hAnsi="Candara" w:cs="Times New Roman"/>
        </w:rPr>
        <w:t xml:space="preserve">  </w:t>
      </w:r>
      <w:bookmarkStart w:id="18" w:name="_Hlk2490324"/>
      <w:r w:rsidR="00642CF9" w:rsidRPr="003427A6">
        <w:rPr>
          <w:rFonts w:ascii="Candara" w:eastAsia="Times New Roman" w:hAnsi="Candara" w:cs="Times New Roman"/>
        </w:rPr>
        <w:t>Thus we believe the rise in  hemoglobin and hematocrit wi</w:t>
      </w:r>
      <w:r w:rsidR="00527B7D" w:rsidRPr="003427A6">
        <w:rPr>
          <w:rFonts w:ascii="Candara" w:eastAsia="Times New Roman" w:hAnsi="Candara" w:cs="Times New Roman"/>
        </w:rPr>
        <w:t>th</w:t>
      </w:r>
      <w:r w:rsidR="00642CF9" w:rsidRPr="003427A6">
        <w:rPr>
          <w:rFonts w:ascii="Candara" w:eastAsia="Times New Roman" w:hAnsi="Candara" w:cs="Times New Roman"/>
        </w:rPr>
        <w:t xml:space="preserve"> SGLT2i may not all be attributed to a diuretic effect and </w:t>
      </w:r>
      <w:r w:rsidR="00527B7D" w:rsidRPr="003427A6">
        <w:rPr>
          <w:rFonts w:ascii="Candara" w:eastAsia="Times New Roman" w:hAnsi="Candara" w:cs="Times New Roman"/>
        </w:rPr>
        <w:t xml:space="preserve">while yet not demonstrated with NHE1 inhibition, </w:t>
      </w:r>
      <w:r w:rsidR="00642CF9" w:rsidRPr="003427A6">
        <w:rPr>
          <w:rFonts w:ascii="Candara" w:eastAsia="Times New Roman" w:hAnsi="Candara" w:cs="Times New Roman"/>
        </w:rPr>
        <w:t>an increase in erythropoiesis should be considered.</w:t>
      </w:r>
      <w:bookmarkEnd w:id="18"/>
      <w:r w:rsidR="008371C2" w:rsidRPr="003427A6">
        <w:rPr>
          <w:rFonts w:ascii="Candara" w:eastAsia="Times New Roman" w:hAnsi="Candara" w:cs="Times New Roman"/>
        </w:rPr>
        <w:t xml:space="preserve">  At this time</w:t>
      </w:r>
      <w:r w:rsidR="00202A55" w:rsidRPr="003427A6">
        <w:rPr>
          <w:rFonts w:ascii="Candara" w:eastAsia="Times New Roman" w:hAnsi="Candara" w:cs="Times New Roman"/>
        </w:rPr>
        <w:t xml:space="preserve"> </w:t>
      </w:r>
      <w:r w:rsidR="008371C2" w:rsidRPr="003427A6">
        <w:rPr>
          <w:rFonts w:ascii="Candara" w:eastAsia="Times New Roman" w:hAnsi="Candara" w:cs="Times New Roman"/>
        </w:rPr>
        <w:t>we are not aware of studies evaluating SGLT2i on red cell mass or measured plasma volume, hence this is a current knowledge gap.</w:t>
      </w:r>
    </w:p>
    <w:p w14:paraId="11E9381D" w14:textId="77777777" w:rsidR="00FC4CE1" w:rsidRPr="003427A6" w:rsidRDefault="00FC4CE1" w:rsidP="00FC4CE1">
      <w:pPr>
        <w:spacing w:line="360" w:lineRule="auto"/>
        <w:rPr>
          <w:rFonts w:ascii="Candara" w:hAnsi="Candara"/>
        </w:rPr>
      </w:pPr>
    </w:p>
    <w:p w14:paraId="4DB85C7E" w14:textId="7A44DE02" w:rsidR="00587A17" w:rsidRPr="003427A6" w:rsidRDefault="00377018" w:rsidP="00FC4CE1">
      <w:pPr>
        <w:spacing w:line="360" w:lineRule="auto"/>
        <w:rPr>
          <w:rFonts w:ascii="Candara" w:hAnsi="Candara"/>
        </w:rPr>
      </w:pPr>
      <w:r w:rsidRPr="003427A6">
        <w:rPr>
          <w:rFonts w:ascii="Candara" w:hAnsi="Candara"/>
          <w:b/>
          <w:i/>
        </w:rPr>
        <w:t>Vasculature</w:t>
      </w:r>
      <w:r w:rsidR="00587A17" w:rsidRPr="003427A6">
        <w:rPr>
          <w:rFonts w:ascii="Candara" w:hAnsi="Candara"/>
          <w:b/>
        </w:rPr>
        <w:t xml:space="preserve">: </w:t>
      </w:r>
      <w:r w:rsidRPr="003427A6">
        <w:rPr>
          <w:rFonts w:ascii="Candara" w:hAnsi="Candara"/>
          <w:b/>
        </w:rPr>
        <w:t xml:space="preserve"> </w:t>
      </w:r>
      <w:r w:rsidR="00587A17" w:rsidRPr="003427A6">
        <w:rPr>
          <w:rFonts w:ascii="Candara" w:hAnsi="Candara"/>
        </w:rPr>
        <w:t xml:space="preserve">Empagliflozin </w:t>
      </w:r>
      <w:r w:rsidR="00F24EA4" w:rsidRPr="003427A6">
        <w:rPr>
          <w:rFonts w:ascii="Candara" w:hAnsi="Candara"/>
        </w:rPr>
        <w:t>has been shown to reduce</w:t>
      </w:r>
      <w:r w:rsidR="00587A17" w:rsidRPr="003427A6">
        <w:rPr>
          <w:rFonts w:ascii="Candara" w:hAnsi="Candara"/>
        </w:rPr>
        <w:t xml:space="preserve"> arterial </w:t>
      </w:r>
      <w:r w:rsidR="00244E3E" w:rsidRPr="003427A6">
        <w:rPr>
          <w:rFonts w:ascii="Candara" w:hAnsi="Candara"/>
        </w:rPr>
        <w:t xml:space="preserve">stiffness in patients with type </w:t>
      </w:r>
      <w:r w:rsidR="00587A17" w:rsidRPr="003427A6">
        <w:rPr>
          <w:rFonts w:ascii="Candara" w:hAnsi="Candara"/>
        </w:rPr>
        <w:t>I DM.</w:t>
      </w:r>
      <w:r w:rsidRPr="003427A6">
        <w:rPr>
          <w:rStyle w:val="af8"/>
          <w:rFonts w:ascii="Candara" w:hAnsi="Candara"/>
        </w:rPr>
        <w:endnoteReference w:id="82"/>
      </w:r>
      <w:r w:rsidRPr="003427A6">
        <w:rPr>
          <w:rFonts w:ascii="Candara" w:hAnsi="Candara"/>
        </w:rPr>
        <w:t xml:space="preserve"> </w:t>
      </w:r>
      <w:r w:rsidR="00587A17" w:rsidRPr="003427A6">
        <w:rPr>
          <w:rFonts w:ascii="Candara" w:hAnsi="Candara"/>
        </w:rPr>
        <w:t>Th</w:t>
      </w:r>
      <w:r w:rsidRPr="003427A6">
        <w:rPr>
          <w:rFonts w:ascii="Candara" w:hAnsi="Candara"/>
        </w:rPr>
        <w:t>e i</w:t>
      </w:r>
      <w:r w:rsidR="00587A17" w:rsidRPr="003427A6">
        <w:rPr>
          <w:rFonts w:ascii="Candara" w:hAnsi="Candara"/>
        </w:rPr>
        <w:t xml:space="preserve">mproved arterial compliance and smooth muscle relaxation </w:t>
      </w:r>
      <w:r w:rsidRPr="003427A6">
        <w:rPr>
          <w:rFonts w:ascii="Candara" w:hAnsi="Candara"/>
        </w:rPr>
        <w:t>mediated through NHE1 inhibition</w:t>
      </w:r>
      <w:r w:rsidR="004942F3" w:rsidRPr="003427A6">
        <w:rPr>
          <w:rFonts w:ascii="Candara" w:hAnsi="Candara"/>
        </w:rPr>
        <w:t xml:space="preserve"> </w:t>
      </w:r>
      <w:r w:rsidR="00886947" w:rsidRPr="003427A6">
        <w:rPr>
          <w:rFonts w:ascii="Candara" w:hAnsi="Candara"/>
        </w:rPr>
        <w:t>may be</w:t>
      </w:r>
      <w:r w:rsidR="00FC4CE1" w:rsidRPr="003427A6">
        <w:rPr>
          <w:rFonts w:ascii="Candara" w:hAnsi="Candara"/>
        </w:rPr>
        <w:t xml:space="preserve"> </w:t>
      </w:r>
      <w:r w:rsidR="002E6EC9" w:rsidRPr="003427A6">
        <w:rPr>
          <w:rFonts w:ascii="Candara" w:hAnsi="Candara"/>
        </w:rPr>
        <w:t>beneficial</w:t>
      </w:r>
      <w:r w:rsidR="00886947" w:rsidRPr="003427A6">
        <w:rPr>
          <w:rFonts w:ascii="Candara" w:hAnsi="Candara"/>
        </w:rPr>
        <w:t xml:space="preserve"> </w:t>
      </w:r>
      <w:r w:rsidRPr="003427A6">
        <w:rPr>
          <w:rFonts w:ascii="Candara" w:hAnsi="Candara"/>
        </w:rPr>
        <w:t xml:space="preserve">in patients at risk for </w:t>
      </w:r>
      <w:r w:rsidR="003B191E" w:rsidRPr="003427A6">
        <w:rPr>
          <w:rFonts w:ascii="Candara" w:hAnsi="Candara"/>
        </w:rPr>
        <w:t>HF</w:t>
      </w:r>
      <w:r w:rsidRPr="003427A6">
        <w:rPr>
          <w:rFonts w:ascii="Candara" w:hAnsi="Candara"/>
        </w:rPr>
        <w:t xml:space="preserve"> and the progression of CKD</w:t>
      </w:r>
      <w:r w:rsidR="00886947" w:rsidRPr="003427A6">
        <w:rPr>
          <w:rFonts w:ascii="Candara" w:hAnsi="Candara"/>
        </w:rPr>
        <w:t>.</w:t>
      </w:r>
      <w:r w:rsidR="00493CC4" w:rsidRPr="003427A6">
        <w:rPr>
          <w:rFonts w:ascii="Candara" w:hAnsi="Candara"/>
        </w:rPr>
        <w:t xml:space="preserve"> </w:t>
      </w:r>
      <w:r w:rsidR="0077224E" w:rsidRPr="003427A6">
        <w:rPr>
          <w:rFonts w:ascii="Candara" w:hAnsi="Candara"/>
        </w:rPr>
        <w:t>In patients with T2DM and hypertension, empagliflozin was associated with reductions in markers of arterial stiffness and vascular resistance.</w:t>
      </w:r>
      <w:r w:rsidRPr="003427A6">
        <w:rPr>
          <w:rStyle w:val="af8"/>
          <w:rFonts w:ascii="Candara" w:hAnsi="Candara"/>
        </w:rPr>
        <w:endnoteReference w:id="83"/>
      </w:r>
      <w:r w:rsidR="0077224E" w:rsidRPr="003427A6">
        <w:rPr>
          <w:rFonts w:ascii="Candara" w:hAnsi="Candara"/>
        </w:rPr>
        <w:t xml:space="preserve"> </w:t>
      </w:r>
      <w:r w:rsidRPr="003427A6">
        <w:rPr>
          <w:rFonts w:ascii="Candara" w:eastAsia="Times New Roman" w:hAnsi="Candara" w:cs="Times New Roman"/>
        </w:rPr>
        <w:t xml:space="preserve">Thus, the dual diuretic-like effect of SGLT2i </w:t>
      </w:r>
      <w:r w:rsidR="008371C2" w:rsidRPr="003427A6">
        <w:rPr>
          <w:rFonts w:ascii="Candara" w:eastAsia="Times New Roman" w:hAnsi="Candara" w:cs="Times New Roman"/>
        </w:rPr>
        <w:t>combined with the</w:t>
      </w:r>
      <w:r w:rsidRPr="003427A6">
        <w:rPr>
          <w:rFonts w:ascii="Candara" w:eastAsia="Times New Roman" w:hAnsi="Candara" w:cs="Times New Roman"/>
        </w:rPr>
        <w:t xml:space="preserve"> </w:t>
      </w:r>
      <w:r w:rsidR="003115DA" w:rsidRPr="003427A6">
        <w:rPr>
          <w:rFonts w:ascii="Candara" w:eastAsia="Times New Roman" w:hAnsi="Candara" w:cs="Times New Roman"/>
        </w:rPr>
        <w:t>vascular</w:t>
      </w:r>
      <w:r w:rsidR="008371C2" w:rsidRPr="003427A6">
        <w:rPr>
          <w:rFonts w:ascii="Candara" w:eastAsia="Times New Roman" w:hAnsi="Candara" w:cs="Times New Roman"/>
        </w:rPr>
        <w:t xml:space="preserve"> effects of</w:t>
      </w:r>
      <w:r w:rsidR="003115DA" w:rsidRPr="003427A6">
        <w:rPr>
          <w:rFonts w:ascii="Candara" w:eastAsia="Times New Roman" w:hAnsi="Candara" w:cs="Times New Roman"/>
        </w:rPr>
        <w:t xml:space="preserve"> </w:t>
      </w:r>
      <w:r w:rsidRPr="003427A6">
        <w:rPr>
          <w:rFonts w:ascii="Candara" w:eastAsia="Times New Roman" w:hAnsi="Candara" w:cs="Times New Roman"/>
        </w:rPr>
        <w:t>NHE</w:t>
      </w:r>
      <w:r w:rsidR="003115DA" w:rsidRPr="003427A6">
        <w:rPr>
          <w:rFonts w:ascii="Candara" w:eastAsia="Times New Roman" w:hAnsi="Candara" w:cs="Times New Roman"/>
        </w:rPr>
        <w:t>1</w:t>
      </w:r>
      <w:r w:rsidRPr="003427A6">
        <w:rPr>
          <w:rFonts w:ascii="Candara" w:eastAsia="Times New Roman" w:hAnsi="Candara" w:cs="Times New Roman"/>
        </w:rPr>
        <w:t xml:space="preserve"> inhibition may explain the sustained reduction of blood pressure in SGLT2i trials across a range of eGFR at the lower ends which would normally not be as responsive to diuretics alone.</w:t>
      </w:r>
      <w:r w:rsidRPr="003427A6">
        <w:rPr>
          <w:rFonts w:ascii="Candara" w:hAnsi="Candara"/>
        </w:rPr>
        <w:t xml:space="preserve"> </w:t>
      </w:r>
    </w:p>
    <w:p w14:paraId="34C126F0" w14:textId="77777777" w:rsidR="00587A17" w:rsidRPr="003427A6" w:rsidRDefault="00587A17" w:rsidP="00FC4CE1">
      <w:pPr>
        <w:spacing w:line="360" w:lineRule="auto"/>
        <w:rPr>
          <w:rFonts w:ascii="Candara" w:hAnsi="Candara"/>
        </w:rPr>
      </w:pPr>
    </w:p>
    <w:p w14:paraId="768011AF" w14:textId="641DAD34" w:rsidR="00477A10" w:rsidRPr="003427A6" w:rsidRDefault="00377018" w:rsidP="002B7EE1">
      <w:pPr>
        <w:spacing w:line="360" w:lineRule="auto"/>
        <w:rPr>
          <w:rFonts w:ascii="Candara" w:hAnsi="Candara" w:cs="Times New Roman"/>
        </w:rPr>
      </w:pPr>
      <w:r w:rsidRPr="003427A6">
        <w:rPr>
          <w:rFonts w:ascii="Candara" w:hAnsi="Candara"/>
          <w:b/>
          <w:i/>
        </w:rPr>
        <w:t>Cellular Metabolism:</w:t>
      </w:r>
      <w:r w:rsidRPr="003427A6">
        <w:rPr>
          <w:rFonts w:ascii="Candara" w:hAnsi="Candara"/>
        </w:rPr>
        <w:t xml:space="preserve">  </w:t>
      </w:r>
      <w:r w:rsidR="007E7E7B" w:rsidRPr="003427A6">
        <w:rPr>
          <w:rFonts w:ascii="Candara" w:hAnsi="Candara"/>
        </w:rPr>
        <w:t xml:space="preserve">The </w:t>
      </w:r>
      <w:r w:rsidR="00E8605A" w:rsidRPr="003427A6">
        <w:rPr>
          <w:rFonts w:ascii="Candara" w:hAnsi="Candara"/>
        </w:rPr>
        <w:t>ketone genesis</w:t>
      </w:r>
      <w:r w:rsidR="007E7E7B" w:rsidRPr="003427A6">
        <w:rPr>
          <w:rFonts w:ascii="Candara" w:hAnsi="Candara"/>
        </w:rPr>
        <w:t xml:space="preserve"> observed with SGLT2i is likely independent of NHE blockade.</w:t>
      </w:r>
      <w:r w:rsidR="007E7E7B" w:rsidRPr="003427A6">
        <w:rPr>
          <w:rStyle w:val="af8"/>
          <w:rFonts w:ascii="Candara" w:hAnsi="Candara"/>
        </w:rPr>
        <w:endnoteReference w:id="84"/>
      </w:r>
      <w:r w:rsidR="007E7E7B" w:rsidRPr="003427A6">
        <w:rPr>
          <w:rFonts w:ascii="Candara" w:hAnsi="Candara"/>
        </w:rPr>
        <w:t xml:space="preserve">  However </w:t>
      </w:r>
      <w:r w:rsidR="003115DA" w:rsidRPr="003427A6">
        <w:rPr>
          <w:rFonts w:ascii="Candara" w:hAnsi="Candara"/>
        </w:rPr>
        <w:t>t</w:t>
      </w:r>
      <w:r w:rsidR="005E49F1" w:rsidRPr="003427A6">
        <w:rPr>
          <w:rFonts w:ascii="Candara" w:hAnsi="Candara"/>
        </w:rPr>
        <w:t xml:space="preserve">he </w:t>
      </w:r>
      <w:r w:rsidR="005E49F1" w:rsidRPr="003427A6">
        <w:rPr>
          <w:rFonts w:ascii="Candara" w:hAnsi="Candara" w:cs="Lucida Grande"/>
        </w:rPr>
        <w:t xml:space="preserve">elevated level of </w:t>
      </w:r>
      <w:r w:rsidR="00587A17" w:rsidRPr="003427A6">
        <w:rPr>
          <w:rFonts w:ascii="Candara" w:hAnsi="Candara" w:cs="Lucida Grande"/>
        </w:rPr>
        <w:t>beta</w:t>
      </w:r>
      <w:r w:rsidR="005E49F1" w:rsidRPr="003427A6">
        <w:rPr>
          <w:rFonts w:ascii="Candara" w:hAnsi="Candara" w:cs="Lucida Grande"/>
          <w:color w:val="000000"/>
        </w:rPr>
        <w:t xml:space="preserve"> hydroxybutyrate seen with SGLT2</w:t>
      </w:r>
      <w:r w:rsidR="003B191E" w:rsidRPr="003427A6">
        <w:rPr>
          <w:rFonts w:ascii="Candara" w:hAnsi="Candara" w:cs="Lucida Grande"/>
          <w:color w:val="000000"/>
        </w:rPr>
        <w:t>i</w:t>
      </w:r>
      <w:r w:rsidR="005E49F1" w:rsidRPr="003427A6">
        <w:rPr>
          <w:rFonts w:ascii="Candara" w:hAnsi="Candara" w:cs="Lucida Grande"/>
          <w:color w:val="000000"/>
        </w:rPr>
        <w:t xml:space="preserve"> </w:t>
      </w:r>
      <w:r w:rsidR="00587A17" w:rsidRPr="003427A6">
        <w:rPr>
          <w:rFonts w:ascii="Candara" w:hAnsi="Candara" w:cs="Lucida Grande"/>
          <w:color w:val="000000"/>
        </w:rPr>
        <w:t>result</w:t>
      </w:r>
      <w:r w:rsidR="005E49F1" w:rsidRPr="003427A6">
        <w:rPr>
          <w:rFonts w:ascii="Candara" w:hAnsi="Candara" w:cs="Lucida Grande"/>
          <w:color w:val="000000"/>
        </w:rPr>
        <w:t>s</w:t>
      </w:r>
      <w:r w:rsidR="00587A17" w:rsidRPr="003427A6">
        <w:rPr>
          <w:rFonts w:ascii="Candara" w:hAnsi="Candara" w:cs="Lucida Grande"/>
          <w:color w:val="000000"/>
        </w:rPr>
        <w:t xml:space="preserve"> in a </w:t>
      </w:r>
      <w:r w:rsidR="00587A17" w:rsidRPr="003427A6">
        <w:rPr>
          <w:rFonts w:ascii="Candara" w:hAnsi="Candara" w:cs="Times New Roman"/>
        </w:rPr>
        <w:t xml:space="preserve">shift in </w:t>
      </w:r>
      <w:r w:rsidR="002E6EC9" w:rsidRPr="003427A6">
        <w:rPr>
          <w:rFonts w:ascii="Candara" w:hAnsi="Candara" w:cs="Times New Roman"/>
        </w:rPr>
        <w:t>metabolism</w:t>
      </w:r>
      <w:r w:rsidR="00587A17" w:rsidRPr="003427A6">
        <w:rPr>
          <w:rFonts w:ascii="Candara" w:hAnsi="Candara" w:cs="Times New Roman"/>
        </w:rPr>
        <w:t xml:space="preserve"> from fatty acids</w:t>
      </w:r>
      <w:r w:rsidR="006911A2" w:rsidRPr="003427A6">
        <w:rPr>
          <w:rFonts w:ascii="Candara" w:hAnsi="Candara" w:cs="Times New Roman"/>
        </w:rPr>
        <w:t xml:space="preserve"> and</w:t>
      </w:r>
      <w:r w:rsidR="00587A17" w:rsidRPr="003427A6">
        <w:rPr>
          <w:rFonts w:ascii="Candara" w:hAnsi="Candara" w:cs="Times New Roman"/>
        </w:rPr>
        <w:t xml:space="preserve"> glucose</w:t>
      </w:r>
      <w:r w:rsidR="003B191E" w:rsidRPr="003427A6">
        <w:rPr>
          <w:rFonts w:ascii="Candara" w:hAnsi="Candara" w:cs="Times New Roman"/>
        </w:rPr>
        <w:t xml:space="preserve"> –</w:t>
      </w:r>
      <w:r w:rsidR="00587A17" w:rsidRPr="003427A6">
        <w:rPr>
          <w:rFonts w:ascii="Candara" w:hAnsi="Candara" w:cs="Times New Roman"/>
        </w:rPr>
        <w:t xml:space="preserve"> which are less energy </w:t>
      </w:r>
      <w:r w:rsidR="00886947" w:rsidRPr="003427A6">
        <w:rPr>
          <w:rFonts w:ascii="Candara" w:hAnsi="Candara" w:cs="Times New Roman"/>
        </w:rPr>
        <w:t xml:space="preserve">efficient in the setting of </w:t>
      </w:r>
      <w:r w:rsidR="00814B17" w:rsidRPr="003427A6">
        <w:rPr>
          <w:rFonts w:ascii="Candara" w:hAnsi="Candara" w:cs="Times New Roman"/>
        </w:rPr>
        <w:t>T2</w:t>
      </w:r>
      <w:r w:rsidR="00587A17" w:rsidRPr="003427A6">
        <w:rPr>
          <w:rFonts w:ascii="Candara" w:hAnsi="Candara" w:cs="Times New Roman"/>
        </w:rPr>
        <w:t>DM</w:t>
      </w:r>
      <w:r w:rsidR="003B191E" w:rsidRPr="003427A6">
        <w:rPr>
          <w:rFonts w:ascii="Candara" w:hAnsi="Candara" w:cs="Times New Roman"/>
        </w:rPr>
        <w:t xml:space="preserve"> –</w:t>
      </w:r>
      <w:r w:rsidR="00587A17" w:rsidRPr="003427A6">
        <w:rPr>
          <w:rFonts w:ascii="Candara" w:hAnsi="Candara" w:cs="Times New Roman"/>
        </w:rPr>
        <w:t xml:space="preserve"> towards the more energy-ef</w:t>
      </w:r>
      <w:r w:rsidR="005E49F1" w:rsidRPr="003427A6">
        <w:rPr>
          <w:rFonts w:ascii="Candara" w:hAnsi="Candara" w:cs="Times New Roman"/>
        </w:rPr>
        <w:t>ficient ketones.</w:t>
      </w:r>
      <w:r w:rsidR="00501DC6" w:rsidRPr="003427A6">
        <w:rPr>
          <w:rStyle w:val="af8"/>
          <w:rFonts w:ascii="Candara" w:hAnsi="Candara" w:cs="Times New Roman"/>
        </w:rPr>
        <w:endnoteReference w:id="85"/>
      </w:r>
      <w:r w:rsidR="005E49F1" w:rsidRPr="003427A6">
        <w:rPr>
          <w:rFonts w:ascii="Candara" w:hAnsi="Candara" w:cs="Times New Roman"/>
        </w:rPr>
        <w:t xml:space="preserve"> This in turn improves </w:t>
      </w:r>
      <w:r w:rsidR="00587A17" w:rsidRPr="003427A6">
        <w:rPr>
          <w:rFonts w:ascii="Candara" w:hAnsi="Candara" w:cs="Times New Roman"/>
        </w:rPr>
        <w:t>myocardial and renal metabolic efficiency while reducing oxygen consumption.</w:t>
      </w:r>
      <w:r w:rsidR="007E7E7B" w:rsidRPr="003427A6">
        <w:rPr>
          <w:rStyle w:val="af8"/>
          <w:rFonts w:ascii="Candara" w:hAnsi="Candara" w:cs="Times New Roman"/>
        </w:rPr>
        <w:endnoteReference w:id="86"/>
      </w:r>
      <w:r w:rsidR="002B7EE1" w:rsidRPr="003427A6">
        <w:rPr>
          <w:rFonts w:ascii="Candara" w:hAnsi="Candara" w:cs="Times New Roman"/>
        </w:rPr>
        <w:t xml:space="preserve"> </w:t>
      </w:r>
      <w:r w:rsidR="007E7E7B" w:rsidRPr="003427A6">
        <w:rPr>
          <w:rStyle w:val="af8"/>
          <w:rFonts w:ascii="Candara" w:hAnsi="Candara" w:cs="Times New Roman"/>
        </w:rPr>
        <w:endnoteReference w:id="87"/>
      </w:r>
      <w:r w:rsidR="007E7E7B" w:rsidRPr="003427A6">
        <w:rPr>
          <w:rFonts w:ascii="Candara" w:hAnsi="Candara" w:cs="Times New Roman"/>
        </w:rPr>
        <w:t xml:space="preserve">  </w:t>
      </w:r>
      <w:r w:rsidR="003B191E" w:rsidRPr="003427A6">
        <w:rPr>
          <w:rFonts w:ascii="Candara" w:hAnsi="Candara" w:cs="Times New Roman"/>
        </w:rPr>
        <w:t xml:space="preserve">The </w:t>
      </w:r>
      <w:r w:rsidR="002B7EE1" w:rsidRPr="003427A6">
        <w:rPr>
          <w:rFonts w:ascii="Candara" w:hAnsi="Candara" w:cs="Times New Roman"/>
        </w:rPr>
        <w:t>ketone hypothesis</w:t>
      </w:r>
      <w:r w:rsidR="007E7E7B" w:rsidRPr="003427A6">
        <w:rPr>
          <w:rFonts w:ascii="Candara" w:hAnsi="Candara" w:cs="Times New Roman"/>
        </w:rPr>
        <w:t xml:space="preserve"> is under study for </w:t>
      </w:r>
      <w:bookmarkStart w:id="19" w:name="_Hlk535667298"/>
      <w:r w:rsidR="007E7E7B" w:rsidRPr="003427A6">
        <w:rPr>
          <w:rFonts w:ascii="Candara" w:hAnsi="Candara" w:cs="Times New Roman"/>
        </w:rPr>
        <w:t>cardiovascular and renal benefit</w:t>
      </w:r>
      <w:r w:rsidR="003B191E" w:rsidRPr="003427A6">
        <w:rPr>
          <w:rFonts w:ascii="Candara" w:hAnsi="Candara" w:cs="Times New Roman"/>
        </w:rPr>
        <w:t xml:space="preserve"> and</w:t>
      </w:r>
      <w:r w:rsidR="007E7E7B" w:rsidRPr="003427A6">
        <w:rPr>
          <w:rFonts w:ascii="Candara" w:hAnsi="Candara" w:cs="Times New Roman"/>
        </w:rPr>
        <w:t xml:space="preserve"> is</w:t>
      </w:r>
      <w:r w:rsidR="009F5E69" w:rsidRPr="003427A6">
        <w:rPr>
          <w:rFonts w:ascii="Candara" w:hAnsi="Candara" w:cs="Times New Roman"/>
        </w:rPr>
        <w:t xml:space="preserve"> potentially</w:t>
      </w:r>
      <w:r w:rsidR="007E7E7B" w:rsidRPr="003427A6">
        <w:rPr>
          <w:rFonts w:ascii="Candara" w:hAnsi="Candara" w:cs="Times New Roman"/>
        </w:rPr>
        <w:t xml:space="preserve"> positioned to </w:t>
      </w:r>
      <w:r w:rsidR="009F5E69" w:rsidRPr="003427A6">
        <w:rPr>
          <w:rFonts w:ascii="Candara" w:hAnsi="Candara" w:cs="Times New Roman"/>
        </w:rPr>
        <w:t>explore</w:t>
      </w:r>
      <w:r w:rsidR="007E7E7B" w:rsidRPr="003427A6">
        <w:rPr>
          <w:rFonts w:ascii="Candara" w:hAnsi="Candara" w:cs="Times New Roman"/>
        </w:rPr>
        <w:t xml:space="preserve"> the proclivity for T2</w:t>
      </w:r>
      <w:r w:rsidR="003B191E" w:rsidRPr="003427A6">
        <w:rPr>
          <w:rFonts w:ascii="Candara" w:hAnsi="Candara" w:cs="Times New Roman"/>
        </w:rPr>
        <w:t>D</w:t>
      </w:r>
      <w:r w:rsidR="007E7E7B" w:rsidRPr="003427A6">
        <w:rPr>
          <w:rFonts w:ascii="Candara" w:hAnsi="Candara" w:cs="Times New Roman"/>
        </w:rPr>
        <w:t>M patients who are keto</w:t>
      </w:r>
      <w:r w:rsidR="003B191E" w:rsidRPr="003427A6">
        <w:rPr>
          <w:rFonts w:ascii="Candara" w:hAnsi="Candara" w:cs="Times New Roman"/>
        </w:rPr>
        <w:t>sis</w:t>
      </w:r>
      <w:r w:rsidR="007E7E7B" w:rsidRPr="003427A6">
        <w:rPr>
          <w:rFonts w:ascii="Candara" w:hAnsi="Candara" w:cs="Times New Roman"/>
        </w:rPr>
        <w:t xml:space="preserve"> prone, </w:t>
      </w:r>
      <w:r w:rsidR="003115DA" w:rsidRPr="003427A6">
        <w:rPr>
          <w:rFonts w:ascii="Candara" w:hAnsi="Candara" w:cs="Times New Roman"/>
        </w:rPr>
        <w:t>to</w:t>
      </w:r>
      <w:r w:rsidR="007E7E7B" w:rsidRPr="003427A6">
        <w:rPr>
          <w:rFonts w:ascii="Candara" w:hAnsi="Candara" w:cs="Times New Roman"/>
        </w:rPr>
        <w:t xml:space="preserve"> develop </w:t>
      </w:r>
      <w:r w:rsidR="00642BE4" w:rsidRPr="003427A6">
        <w:rPr>
          <w:rFonts w:ascii="Candara" w:hAnsi="Candara" w:cs="Times New Roman"/>
        </w:rPr>
        <w:lastRenderedPageBreak/>
        <w:t>DKA</w:t>
      </w:r>
      <w:r w:rsidR="003115DA" w:rsidRPr="003427A6">
        <w:rPr>
          <w:rFonts w:ascii="Candara" w:hAnsi="Candara" w:cs="Times New Roman"/>
        </w:rPr>
        <w:t xml:space="preserve"> while administered SGLT2i</w:t>
      </w:r>
      <w:r w:rsidR="007E7E7B" w:rsidRPr="003427A6">
        <w:rPr>
          <w:rFonts w:ascii="Candara" w:hAnsi="Candara" w:cs="Times New Roman"/>
        </w:rPr>
        <w:t xml:space="preserve"> in the absence of hyperglycemia or insulinopenia</w:t>
      </w:r>
      <w:bookmarkEnd w:id="19"/>
      <w:r w:rsidR="002B7EE1" w:rsidRPr="003427A6">
        <w:rPr>
          <w:rFonts w:ascii="Candara" w:hAnsi="Candara" w:cs="Times New Roman"/>
        </w:rPr>
        <w:t>.</w:t>
      </w:r>
      <w:r w:rsidR="007E7E7B" w:rsidRPr="003427A6">
        <w:rPr>
          <w:rStyle w:val="af8"/>
          <w:rFonts w:ascii="Candara" w:hAnsi="Candara" w:cs="Times New Roman"/>
        </w:rPr>
        <w:endnoteReference w:id="88"/>
      </w:r>
      <w:r w:rsidR="007E7E7B" w:rsidRPr="003427A6">
        <w:rPr>
          <w:rFonts w:ascii="Candara" w:hAnsi="Candara" w:cs="Times New Roman"/>
        </w:rPr>
        <w:t xml:space="preserve"> </w:t>
      </w:r>
      <w:r w:rsidR="00477A10" w:rsidRPr="003427A6">
        <w:rPr>
          <w:rFonts w:ascii="Candara" w:hAnsi="Candara" w:cs="Times New Roman"/>
        </w:rPr>
        <w:t xml:space="preserve"> </w:t>
      </w:r>
      <w:r w:rsidR="00527B7D" w:rsidRPr="003427A6">
        <w:rPr>
          <w:rFonts w:ascii="Candara" w:hAnsi="Candara" w:cs="Times New Roman"/>
        </w:rPr>
        <w:t xml:space="preserve">The NHE family of channels may be influenced by ketogenesis, for example, </w:t>
      </w:r>
      <w:r w:rsidR="00CF7CEA" w:rsidRPr="003427A6">
        <w:rPr>
          <w:rFonts w:ascii="Candara" w:hAnsi="Candara" w:cs="Times New Roman"/>
        </w:rPr>
        <w:t>N</w:t>
      </w:r>
      <w:r w:rsidR="00477A10" w:rsidRPr="003427A6">
        <w:rPr>
          <w:rFonts w:ascii="Candara" w:hAnsi="Candara" w:cs="Times New Roman"/>
        </w:rPr>
        <w:t>HE1 appears to mediate the brain swelling that occurs in preclinical models</w:t>
      </w:r>
      <w:r w:rsidR="003115DA" w:rsidRPr="003427A6">
        <w:rPr>
          <w:rFonts w:ascii="Candara" w:hAnsi="Candara" w:cs="Times New Roman"/>
        </w:rPr>
        <w:t xml:space="preserve"> of </w:t>
      </w:r>
      <w:r w:rsidR="003B191E" w:rsidRPr="003427A6">
        <w:rPr>
          <w:rFonts w:ascii="Candara" w:hAnsi="Candara" w:cs="Times New Roman"/>
        </w:rPr>
        <w:t>DKA</w:t>
      </w:r>
      <w:r w:rsidR="00477A10" w:rsidRPr="003427A6">
        <w:rPr>
          <w:rFonts w:ascii="Candara" w:hAnsi="Candara" w:cs="Times New Roman"/>
        </w:rPr>
        <w:t>.</w:t>
      </w:r>
      <w:r w:rsidR="00477A10" w:rsidRPr="003427A6">
        <w:rPr>
          <w:rStyle w:val="af8"/>
          <w:rFonts w:ascii="Candara" w:hAnsi="Candara" w:cs="Times New Roman"/>
        </w:rPr>
        <w:endnoteReference w:id="89"/>
      </w:r>
    </w:p>
    <w:p w14:paraId="04A055FC" w14:textId="160F6091" w:rsidR="006911A2" w:rsidRPr="003427A6" w:rsidRDefault="006911A2" w:rsidP="002B7EE1">
      <w:pPr>
        <w:spacing w:line="360" w:lineRule="auto"/>
        <w:rPr>
          <w:rFonts w:ascii="Candara" w:hAnsi="Candara" w:cs="Times New Roman"/>
        </w:rPr>
      </w:pPr>
    </w:p>
    <w:p w14:paraId="66F8611B" w14:textId="4096E4E9" w:rsidR="006911A2" w:rsidRPr="003427A6" w:rsidRDefault="006911A2" w:rsidP="002B7EE1">
      <w:pPr>
        <w:spacing w:line="360" w:lineRule="auto"/>
        <w:rPr>
          <w:rFonts w:ascii="Candara" w:hAnsi="Candara" w:cs="Times New Roman"/>
        </w:rPr>
      </w:pPr>
      <w:r w:rsidRPr="003427A6">
        <w:rPr>
          <w:rFonts w:ascii="Candara" w:hAnsi="Candara" w:cs="Times New Roman"/>
          <w:b/>
          <w:i/>
        </w:rPr>
        <w:t>Metabolic Bone Disease:</w:t>
      </w:r>
      <w:r w:rsidRPr="003427A6">
        <w:rPr>
          <w:rFonts w:ascii="Candara" w:hAnsi="Candara" w:cs="Times New Roman"/>
        </w:rPr>
        <w:t xml:space="preserve">   Chronic metabolic acidosis is associated with activation of osteoclastic activity and suppression of osteoblasts.   Likewise, a chronically impaired NHE mechanism in osteocyte</w:t>
      </w:r>
      <w:r w:rsidR="00954575" w:rsidRPr="003427A6">
        <w:rPr>
          <w:rFonts w:ascii="Candara" w:hAnsi="Candara" w:cs="Times New Roman"/>
        </w:rPr>
        <w:t>s</w:t>
      </w:r>
      <w:r w:rsidRPr="003427A6">
        <w:rPr>
          <w:rFonts w:ascii="Candara" w:hAnsi="Candara" w:cs="Times New Roman"/>
        </w:rPr>
        <w:t xml:space="preserve"> is a tractable mechanism for metabolic bone disease that is akin to that of </w:t>
      </w:r>
      <w:r w:rsidR="003B191E" w:rsidRPr="003427A6">
        <w:rPr>
          <w:rFonts w:ascii="Candara" w:hAnsi="Candara" w:cs="Times New Roman"/>
        </w:rPr>
        <w:t>CKD</w:t>
      </w:r>
      <w:r w:rsidRPr="003427A6">
        <w:rPr>
          <w:rFonts w:ascii="Candara" w:hAnsi="Candara" w:cs="Times New Roman"/>
        </w:rPr>
        <w:t>.</w:t>
      </w:r>
      <w:r w:rsidR="00954575" w:rsidRPr="003427A6">
        <w:rPr>
          <w:rStyle w:val="af8"/>
          <w:rFonts w:ascii="Candara" w:hAnsi="Candara" w:cs="Times New Roman"/>
        </w:rPr>
        <w:endnoteReference w:id="90"/>
      </w:r>
      <w:r w:rsidRPr="003427A6">
        <w:rPr>
          <w:rFonts w:ascii="Candara" w:hAnsi="Candara" w:cs="Times New Roman"/>
        </w:rPr>
        <w:t xml:space="preserve">  </w:t>
      </w:r>
      <w:r w:rsidR="00954575" w:rsidRPr="003427A6">
        <w:rPr>
          <w:rFonts w:ascii="Candara" w:hAnsi="Candara" w:cs="Times New Roman"/>
        </w:rPr>
        <w:t>NHE1, NHE3, and NHE5 are all expressed in bone cells</w:t>
      </w:r>
      <w:r w:rsidR="00B764D6" w:rsidRPr="003427A6">
        <w:rPr>
          <w:rFonts w:ascii="Candara" w:hAnsi="Candara" w:cs="Times New Roman"/>
        </w:rPr>
        <w:t>, although inhibition of these channels has not been performed to evaluate the effects on bone cells</w:t>
      </w:r>
      <w:r w:rsidR="00954575" w:rsidRPr="003427A6">
        <w:rPr>
          <w:rFonts w:ascii="Candara" w:hAnsi="Candara" w:cs="Times New Roman"/>
        </w:rPr>
        <w:t xml:space="preserve">.  </w:t>
      </w:r>
      <w:r w:rsidRPr="003427A6">
        <w:rPr>
          <w:rFonts w:ascii="Candara" w:hAnsi="Candara" w:cs="Times New Roman"/>
        </w:rPr>
        <w:t>In trials of dapagliflozin, there were higher rates of fracture with SGLT2i</w:t>
      </w:r>
      <w:r w:rsidR="00093A03" w:rsidRPr="003427A6">
        <w:rPr>
          <w:rFonts w:ascii="Candara" w:hAnsi="Candara" w:cs="Times New Roman"/>
        </w:rPr>
        <w:t>.</w:t>
      </w:r>
      <w:r w:rsidR="00404F2C" w:rsidRPr="003427A6">
        <w:rPr>
          <w:rFonts w:ascii="Candara" w:hAnsi="Candara" w:cs="Times New Roman"/>
        </w:rPr>
        <w:t xml:space="preserve">   </w:t>
      </w:r>
      <w:r w:rsidR="00CF7CEA" w:rsidRPr="003427A6">
        <w:rPr>
          <w:rFonts w:ascii="Candara" w:hAnsi="Candara" w:cs="Times New Roman"/>
        </w:rPr>
        <w:t>In a dedicated bone mineral density study, dapagliflozin 10 mg compared to metformin had no impact on imaging or biochemical measures of bone health.</w:t>
      </w:r>
      <w:r w:rsidR="00CF7CEA" w:rsidRPr="003427A6">
        <w:rPr>
          <w:rStyle w:val="af8"/>
          <w:rFonts w:ascii="Candara" w:hAnsi="Candara" w:cs="Times New Roman"/>
        </w:rPr>
        <w:endnoteReference w:id="91"/>
      </w:r>
      <w:r w:rsidR="00CF7CEA" w:rsidRPr="003427A6">
        <w:rPr>
          <w:rFonts w:ascii="Candara" w:hAnsi="Candara" w:cs="Times New Roman"/>
        </w:rPr>
        <w:t xml:space="preserve">  </w:t>
      </w:r>
      <w:r w:rsidR="00404F2C" w:rsidRPr="003427A6">
        <w:rPr>
          <w:rFonts w:ascii="Candara" w:hAnsi="Candara" w:cs="Times New Roman"/>
        </w:rPr>
        <w:t>Canaglif</w:t>
      </w:r>
      <w:r w:rsidR="00CF7CEA" w:rsidRPr="003427A6">
        <w:rPr>
          <w:rFonts w:ascii="Candara" w:hAnsi="Candara" w:cs="Times New Roman"/>
        </w:rPr>
        <w:t>l</w:t>
      </w:r>
      <w:r w:rsidR="00404F2C" w:rsidRPr="003427A6">
        <w:rPr>
          <w:rFonts w:ascii="Candara" w:hAnsi="Candara" w:cs="Times New Roman"/>
        </w:rPr>
        <w:t>ozin in a dedicated bone mineral density study was associated with markers of bone resorption consistent with the activation of osteoclasts potentially through NHE.</w:t>
      </w:r>
      <w:r w:rsidR="00404F2C" w:rsidRPr="003427A6">
        <w:rPr>
          <w:rStyle w:val="af8"/>
          <w:rFonts w:ascii="Candara" w:hAnsi="Candara" w:cs="Times New Roman"/>
        </w:rPr>
        <w:endnoteReference w:id="92"/>
      </w:r>
      <w:r w:rsidR="00404F2C" w:rsidRPr="003427A6">
        <w:rPr>
          <w:rFonts w:ascii="Candara" w:hAnsi="Candara" w:cs="Times New Roman"/>
        </w:rPr>
        <w:t xml:space="preserve"> </w:t>
      </w:r>
      <w:r w:rsidR="00093A03" w:rsidRPr="003427A6">
        <w:rPr>
          <w:rFonts w:ascii="Candara" w:hAnsi="Candara" w:cs="Times New Roman"/>
        </w:rPr>
        <w:t xml:space="preserve">  </w:t>
      </w:r>
      <w:r w:rsidR="00404F2C" w:rsidRPr="003427A6">
        <w:rPr>
          <w:rFonts w:ascii="Candara" w:hAnsi="Candara" w:cs="Times New Roman"/>
        </w:rPr>
        <w:t xml:space="preserve">There are potentially kidney-bone metabolic effects to consider with SGLT2i including renal phosphate retention </w:t>
      </w:r>
      <w:r w:rsidR="00CF7CEA" w:rsidRPr="003427A6">
        <w:rPr>
          <w:rFonts w:ascii="Candara" w:hAnsi="Candara" w:cs="Times New Roman"/>
        </w:rPr>
        <w:t>which has been shown over the short term to induce the secretion of fibroblast-growth factor-23 in health volunteers.</w:t>
      </w:r>
      <w:r w:rsidR="00CF7CEA" w:rsidRPr="003427A6">
        <w:rPr>
          <w:rStyle w:val="af8"/>
          <w:rFonts w:ascii="Candara" w:hAnsi="Candara" w:cs="Times New Roman"/>
        </w:rPr>
        <w:endnoteReference w:id="93"/>
      </w:r>
      <w:r w:rsidR="00CF7CEA" w:rsidRPr="003427A6">
        <w:rPr>
          <w:rFonts w:ascii="Candara" w:hAnsi="Candara" w:cs="Times New Roman"/>
        </w:rPr>
        <w:t xml:space="preserve">  </w:t>
      </w:r>
      <w:r w:rsidR="00404F2C" w:rsidRPr="003427A6">
        <w:rPr>
          <w:rFonts w:ascii="Candara" w:hAnsi="Candara" w:cs="Times New Roman"/>
        </w:rPr>
        <w:t>Accordingly,</w:t>
      </w:r>
      <w:r w:rsidR="00093A03" w:rsidRPr="003427A6">
        <w:rPr>
          <w:rFonts w:ascii="Candara" w:hAnsi="Candara" w:cs="Times New Roman"/>
        </w:rPr>
        <w:t xml:space="preserve"> there were numerically higher rates of fracture in EMPA-REG</w:t>
      </w:r>
      <w:r w:rsidR="009D718C" w:rsidRPr="003427A6">
        <w:rPr>
          <w:rFonts w:ascii="Candara" w:hAnsi="Candara" w:cs="Times New Roman"/>
        </w:rPr>
        <w:t xml:space="preserve"> OUTCOME</w:t>
      </w:r>
      <w:r w:rsidR="00093A03" w:rsidRPr="003427A6">
        <w:rPr>
          <w:rFonts w:ascii="Candara" w:hAnsi="Candara" w:cs="Times New Roman"/>
        </w:rPr>
        <w:t xml:space="preserve"> and CANVAS which did not meet statistical significance.</w:t>
      </w:r>
      <w:r w:rsidR="00404F2C" w:rsidRPr="003427A6">
        <w:rPr>
          <w:rStyle w:val="af8"/>
          <w:rFonts w:ascii="Candara" w:hAnsi="Candara" w:cs="Times New Roman"/>
        </w:rPr>
        <w:endnoteReference w:id="94"/>
      </w:r>
      <w:r w:rsidR="00404F2C" w:rsidRPr="003427A6">
        <w:rPr>
          <w:rFonts w:ascii="Candara" w:hAnsi="Candara" w:cs="Times New Roman"/>
        </w:rPr>
        <w:t xml:space="preserve"> </w:t>
      </w:r>
      <w:r w:rsidR="00404F2C" w:rsidRPr="003427A6">
        <w:rPr>
          <w:rStyle w:val="af8"/>
          <w:rFonts w:ascii="Candara" w:hAnsi="Candara" w:cs="Times New Roman"/>
        </w:rPr>
        <w:endnoteReference w:id="95"/>
      </w:r>
      <w:r w:rsidR="00404F2C" w:rsidRPr="003427A6">
        <w:rPr>
          <w:rFonts w:ascii="Candara" w:hAnsi="Candara" w:cs="Times New Roman"/>
        </w:rPr>
        <w:t xml:space="preserve"> </w:t>
      </w:r>
      <w:r w:rsidR="00093A03" w:rsidRPr="003427A6">
        <w:rPr>
          <w:rStyle w:val="af8"/>
          <w:rFonts w:ascii="Candara" w:hAnsi="Candara" w:cs="Times New Roman"/>
        </w:rPr>
        <w:endnoteReference w:id="96"/>
      </w:r>
    </w:p>
    <w:p w14:paraId="05FF15BF" w14:textId="7497104B" w:rsidR="00477A10" w:rsidRPr="003427A6" w:rsidRDefault="006911A2" w:rsidP="002B7EE1">
      <w:pPr>
        <w:spacing w:line="360" w:lineRule="auto"/>
        <w:rPr>
          <w:rFonts w:ascii="Candara" w:hAnsi="Candara" w:cs="Times New Roman"/>
        </w:rPr>
      </w:pPr>
      <w:r w:rsidRPr="003427A6">
        <w:rPr>
          <w:rFonts w:ascii="Candara" w:hAnsi="Candara" w:cs="Times New Roman"/>
        </w:rPr>
        <w:t xml:space="preserve">  </w:t>
      </w:r>
    </w:p>
    <w:p w14:paraId="4ED48F11" w14:textId="75DCEF67" w:rsidR="00477A10" w:rsidRPr="003427A6" w:rsidRDefault="00477A10" w:rsidP="002B7EE1">
      <w:pPr>
        <w:spacing w:line="360" w:lineRule="auto"/>
        <w:rPr>
          <w:rFonts w:ascii="Candara" w:hAnsi="Candara" w:cs="Times New Roman"/>
        </w:rPr>
      </w:pPr>
      <w:r w:rsidRPr="003427A6">
        <w:rPr>
          <w:rFonts w:ascii="Candara" w:hAnsi="Candara" w:cs="Times New Roman"/>
          <w:b/>
          <w:i/>
        </w:rPr>
        <w:t>Diabetic Non</w:t>
      </w:r>
      <w:r w:rsidR="00094952" w:rsidRPr="003427A6">
        <w:rPr>
          <w:rFonts w:ascii="Candara" w:hAnsi="Candara" w:cs="Times New Roman"/>
          <w:b/>
          <w:i/>
        </w:rPr>
        <w:t>-H</w:t>
      </w:r>
      <w:r w:rsidRPr="003427A6">
        <w:rPr>
          <w:rFonts w:ascii="Candara" w:hAnsi="Candara" w:cs="Times New Roman"/>
          <w:b/>
          <w:i/>
        </w:rPr>
        <w:t>ealing Ulcers</w:t>
      </w:r>
      <w:r w:rsidR="00140188" w:rsidRPr="003427A6">
        <w:rPr>
          <w:rFonts w:ascii="Candara" w:hAnsi="Candara" w:cs="Times New Roman"/>
          <w:b/>
          <w:i/>
        </w:rPr>
        <w:t xml:space="preserve">, </w:t>
      </w:r>
      <w:r w:rsidRPr="003427A6">
        <w:rPr>
          <w:rFonts w:ascii="Candara" w:hAnsi="Candara" w:cs="Times New Roman"/>
          <w:b/>
          <w:i/>
        </w:rPr>
        <w:t>Extremity Amputation</w:t>
      </w:r>
      <w:r w:rsidR="00140188" w:rsidRPr="003427A6">
        <w:rPr>
          <w:rFonts w:ascii="Candara" w:hAnsi="Candara" w:cs="Times New Roman"/>
          <w:b/>
          <w:i/>
        </w:rPr>
        <w:t>, Fournier’s Gangrene</w:t>
      </w:r>
      <w:r w:rsidRPr="003427A6">
        <w:rPr>
          <w:rFonts w:ascii="Candara" w:hAnsi="Candara" w:cs="Times New Roman"/>
          <w:b/>
          <w:i/>
        </w:rPr>
        <w:t>:</w:t>
      </w:r>
      <w:r w:rsidRPr="003427A6">
        <w:rPr>
          <w:rFonts w:ascii="Candara" w:hAnsi="Candara" w:cs="Times New Roman"/>
        </w:rPr>
        <w:t xml:space="preserve">  Tissue hypoxia and acidosis is an accepted model for the progression of non</w:t>
      </w:r>
      <w:r w:rsidR="00094952" w:rsidRPr="003427A6">
        <w:rPr>
          <w:rFonts w:ascii="Candara" w:hAnsi="Candara" w:cs="Times New Roman"/>
        </w:rPr>
        <w:t>-</w:t>
      </w:r>
      <w:r w:rsidRPr="003427A6">
        <w:rPr>
          <w:rFonts w:ascii="Candara" w:hAnsi="Candara" w:cs="Times New Roman"/>
        </w:rPr>
        <w:t xml:space="preserve">healing diabetic ulcers most commonly seen in the diabetic foot.  The same factors contribute to arterial ulcers and critical limb ischemia as it occurs in those with and without T2DM.  </w:t>
      </w:r>
      <w:bookmarkStart w:id="20" w:name="_Hlk2492373"/>
      <w:r w:rsidRPr="003427A6">
        <w:rPr>
          <w:rFonts w:ascii="Candara" w:hAnsi="Candara" w:cs="Times New Roman"/>
        </w:rPr>
        <w:t>NHE1 is active in</w:t>
      </w:r>
      <w:r w:rsidR="00B764D6" w:rsidRPr="003427A6">
        <w:rPr>
          <w:rFonts w:ascii="Candara" w:hAnsi="Candara" w:cs="Times New Roman"/>
        </w:rPr>
        <w:t xml:space="preserve"> neuronal cells,</w:t>
      </w:r>
      <w:r w:rsidRPr="003427A6">
        <w:rPr>
          <w:rFonts w:ascii="Candara" w:hAnsi="Candara" w:cs="Times New Roman"/>
        </w:rPr>
        <w:t xml:space="preserve"> fibroblasts, subcutaneous</w:t>
      </w:r>
      <w:bookmarkEnd w:id="20"/>
      <w:r w:rsidRPr="003427A6">
        <w:rPr>
          <w:rFonts w:ascii="Candara" w:hAnsi="Candara" w:cs="Times New Roman"/>
        </w:rPr>
        <w:t xml:space="preserve"> stromal cells, and on the vascular endothelium.</w:t>
      </w:r>
      <w:r w:rsidR="00B764D6" w:rsidRPr="003427A6">
        <w:rPr>
          <w:rStyle w:val="af8"/>
          <w:rFonts w:ascii="Candara" w:hAnsi="Candara" w:cs="Times New Roman"/>
        </w:rPr>
        <w:endnoteReference w:id="97"/>
      </w:r>
      <w:r w:rsidRPr="003427A6">
        <w:rPr>
          <w:rFonts w:ascii="Candara" w:hAnsi="Candara" w:cs="Times New Roman"/>
        </w:rPr>
        <w:t xml:space="preserve">   In this setting, NHE1 is essential for the restoration of intracellular pH after bouts of ischemia.  Thus, it is conceivable that NHE1 inhibition by SGLT2i is the mechanism by which these agents</w:t>
      </w:r>
      <w:r w:rsidR="009F5E69" w:rsidRPr="003427A6">
        <w:rPr>
          <w:rFonts w:ascii="Candara" w:hAnsi="Candara" w:cs="Times New Roman"/>
        </w:rPr>
        <w:t>, most notably</w:t>
      </w:r>
      <w:r w:rsidR="006D44AE" w:rsidRPr="003427A6">
        <w:rPr>
          <w:rFonts w:ascii="Candara" w:hAnsi="Candara" w:cs="Times New Roman"/>
        </w:rPr>
        <w:t xml:space="preserve"> canagliflozin,</w:t>
      </w:r>
      <w:r w:rsidRPr="003427A6">
        <w:rPr>
          <w:rFonts w:ascii="Candara" w:hAnsi="Candara" w:cs="Times New Roman"/>
        </w:rPr>
        <w:t xml:space="preserve"> have been associated with lower extremity amputations</w:t>
      </w:r>
      <w:r w:rsidR="00140188" w:rsidRPr="003427A6">
        <w:rPr>
          <w:rFonts w:ascii="Candara" w:hAnsi="Candara" w:cs="Times New Roman"/>
        </w:rPr>
        <w:t xml:space="preserve"> and rare cases of Fournier’s gangrene</w:t>
      </w:r>
      <w:r w:rsidR="00F56A0E" w:rsidRPr="003427A6">
        <w:rPr>
          <w:rFonts w:ascii="Candara" w:hAnsi="Candara" w:cs="Times New Roman"/>
        </w:rPr>
        <w:t>,</w:t>
      </w:r>
      <w:r w:rsidR="00445522" w:rsidRPr="003427A6">
        <w:rPr>
          <w:rFonts w:ascii="Candara" w:hAnsi="Candara" w:cs="Times New Roman"/>
        </w:rPr>
        <w:t xml:space="preserve"> which may be an extension of the well-recognized genital mycotic infections associated with SGLT2i</w:t>
      </w:r>
      <w:r w:rsidRPr="003427A6">
        <w:rPr>
          <w:rFonts w:ascii="Candara" w:hAnsi="Candara" w:cs="Times New Roman"/>
        </w:rPr>
        <w:t>.</w:t>
      </w:r>
      <w:r w:rsidR="00445522" w:rsidRPr="003427A6">
        <w:rPr>
          <w:rStyle w:val="af8"/>
          <w:rFonts w:ascii="Candara" w:hAnsi="Candara" w:cs="Times New Roman"/>
        </w:rPr>
        <w:endnoteReference w:id="98"/>
      </w:r>
      <w:r w:rsidRPr="003427A6">
        <w:rPr>
          <w:rFonts w:ascii="Candara" w:hAnsi="Candara" w:cs="Times New Roman"/>
        </w:rPr>
        <w:t xml:space="preserve">   </w:t>
      </w:r>
      <w:bookmarkStart w:id="21" w:name="_Hlk535667599"/>
      <w:bookmarkStart w:id="22" w:name="_Hlk535668064"/>
      <w:r w:rsidRPr="003427A6">
        <w:rPr>
          <w:rFonts w:ascii="Candara" w:hAnsi="Candara" w:cs="Times New Roman"/>
        </w:rPr>
        <w:t>Because canagliflozin</w:t>
      </w:r>
      <w:r w:rsidR="002C17C0" w:rsidRPr="003427A6">
        <w:rPr>
          <w:rFonts w:ascii="Candara" w:hAnsi="Candara" w:cs="Times New Roman"/>
        </w:rPr>
        <w:t xml:space="preserve"> is used</w:t>
      </w:r>
      <w:r w:rsidR="008A0BEB" w:rsidRPr="003427A6">
        <w:rPr>
          <w:rFonts w:ascii="Candara" w:hAnsi="Candara" w:cs="Times New Roman"/>
        </w:rPr>
        <w:t xml:space="preserve"> clinically</w:t>
      </w:r>
      <w:r w:rsidR="002C17C0" w:rsidRPr="003427A6">
        <w:rPr>
          <w:rFonts w:ascii="Candara" w:hAnsi="Candara" w:cs="Times New Roman"/>
        </w:rPr>
        <w:t xml:space="preserve"> </w:t>
      </w:r>
      <w:r w:rsidR="002C17C0" w:rsidRPr="003427A6">
        <w:rPr>
          <w:rFonts w:ascii="Candara" w:hAnsi="Candara" w:cs="Times New Roman"/>
        </w:rPr>
        <w:lastRenderedPageBreak/>
        <w:t>at dose</w:t>
      </w:r>
      <w:bookmarkEnd w:id="21"/>
      <w:r w:rsidR="008A0BEB" w:rsidRPr="003427A6">
        <w:rPr>
          <w:rFonts w:ascii="Candara" w:hAnsi="Candara" w:cs="Times New Roman"/>
        </w:rPr>
        <w:t>s corresponding to</w:t>
      </w:r>
      <w:r w:rsidR="002C17C0" w:rsidRPr="003427A6">
        <w:rPr>
          <w:rFonts w:ascii="Candara" w:hAnsi="Candara" w:cs="Times New Roman"/>
        </w:rPr>
        <w:t xml:space="preserve"> </w:t>
      </w:r>
      <w:r w:rsidRPr="003427A6">
        <w:rPr>
          <w:rFonts w:ascii="Candara" w:hAnsi="Candara" w:cs="Times New Roman"/>
        </w:rPr>
        <w:t>highest tissue concentration</w:t>
      </w:r>
      <w:bookmarkEnd w:id="22"/>
      <w:r w:rsidRPr="003427A6">
        <w:rPr>
          <w:rFonts w:ascii="Candara" w:hAnsi="Candara" w:cs="Times New Roman"/>
        </w:rPr>
        <w:t xml:space="preserve"> in preclinical mode</w:t>
      </w:r>
      <w:r w:rsidR="008A0BEB" w:rsidRPr="003427A6">
        <w:rPr>
          <w:rFonts w:ascii="Candara" w:hAnsi="Candara" w:cs="Times New Roman"/>
        </w:rPr>
        <w:t>ls</w:t>
      </w:r>
      <w:r w:rsidRPr="003427A6">
        <w:rPr>
          <w:rFonts w:ascii="Candara" w:hAnsi="Candara" w:cs="Times New Roman"/>
        </w:rPr>
        <w:t>,</w:t>
      </w:r>
      <w:r w:rsidR="008A0BEB" w:rsidRPr="003427A6">
        <w:rPr>
          <w:rFonts w:ascii="Candara" w:hAnsi="Candara" w:cs="Times New Roman"/>
        </w:rPr>
        <w:t xml:space="preserve"> it is congruous that </w:t>
      </w:r>
      <w:r w:rsidRPr="003427A6">
        <w:rPr>
          <w:rFonts w:ascii="Candara" w:hAnsi="Candara" w:cs="Times New Roman"/>
        </w:rPr>
        <w:t>canagliflozin has had the strongest differential amputation risk</w:t>
      </w:r>
      <w:r w:rsidR="006911A2" w:rsidRPr="003427A6">
        <w:rPr>
          <w:rFonts w:ascii="Candara" w:hAnsi="Candara" w:cs="Times New Roman"/>
        </w:rPr>
        <w:t xml:space="preserve"> among the SGLT2i.</w:t>
      </w:r>
      <w:r w:rsidR="00834812" w:rsidRPr="003427A6">
        <w:rPr>
          <w:rStyle w:val="af8"/>
          <w:rFonts w:ascii="Candara" w:hAnsi="Candara" w:cs="Times New Roman"/>
        </w:rPr>
        <w:endnoteReference w:id="99"/>
      </w:r>
      <w:r w:rsidR="00F42831" w:rsidRPr="003427A6">
        <w:rPr>
          <w:rFonts w:ascii="Candara" w:hAnsi="Candara" w:cs="Times New Roman"/>
        </w:rPr>
        <w:t xml:space="preserve"> </w:t>
      </w:r>
      <w:r w:rsidR="00F42831" w:rsidRPr="003427A6">
        <w:rPr>
          <w:rStyle w:val="af8"/>
          <w:rFonts w:ascii="Candara" w:hAnsi="Candara" w:cs="Times New Roman"/>
        </w:rPr>
        <w:endnoteReference w:id="100"/>
      </w:r>
    </w:p>
    <w:p w14:paraId="276E3E8E" w14:textId="339FC45B" w:rsidR="003561D3" w:rsidRPr="003427A6" w:rsidRDefault="002B7EE1" w:rsidP="00FC4CE1">
      <w:pPr>
        <w:spacing w:line="360" w:lineRule="auto"/>
        <w:rPr>
          <w:rFonts w:ascii="Candara" w:hAnsi="Candara"/>
          <w:b/>
          <w:i/>
        </w:rPr>
      </w:pPr>
      <w:r w:rsidRPr="003427A6">
        <w:rPr>
          <w:rFonts w:ascii="Candara" w:hAnsi="Candara" w:cs="Times New Roman"/>
        </w:rPr>
        <w:t xml:space="preserve"> </w:t>
      </w:r>
    </w:p>
    <w:p w14:paraId="4B629332" w14:textId="54B21EBE" w:rsidR="000C30B3" w:rsidRPr="003427A6" w:rsidRDefault="006911A2" w:rsidP="006911A2">
      <w:pPr>
        <w:tabs>
          <w:tab w:val="left" w:pos="6727"/>
        </w:tabs>
        <w:spacing w:line="360" w:lineRule="auto"/>
        <w:rPr>
          <w:rFonts w:ascii="Candara" w:hAnsi="Candara"/>
          <w:b/>
          <w:color w:val="0D0D0D" w:themeColor="text1" w:themeTint="F2"/>
        </w:rPr>
      </w:pPr>
      <w:r w:rsidRPr="003427A6">
        <w:rPr>
          <w:rFonts w:ascii="Candara" w:hAnsi="Candara"/>
          <w:b/>
          <w:color w:val="0D0D0D" w:themeColor="text1" w:themeTint="F2"/>
        </w:rPr>
        <w:t>DISCUSSION</w:t>
      </w:r>
    </w:p>
    <w:p w14:paraId="50523E8E" w14:textId="77777777" w:rsidR="00F0304D" w:rsidRPr="003427A6" w:rsidRDefault="00F0304D" w:rsidP="006911A2">
      <w:pPr>
        <w:tabs>
          <w:tab w:val="left" w:pos="6727"/>
        </w:tabs>
        <w:spacing w:line="360" w:lineRule="auto"/>
        <w:rPr>
          <w:rFonts w:ascii="Candara" w:hAnsi="Candara"/>
          <w:b/>
          <w:color w:val="0D0D0D" w:themeColor="text1" w:themeTint="F2"/>
        </w:rPr>
      </w:pPr>
    </w:p>
    <w:p w14:paraId="1FEA4374" w14:textId="3F56DB9E" w:rsidR="001A025D" w:rsidRPr="003427A6" w:rsidRDefault="006911A2" w:rsidP="00CE31C7">
      <w:pPr>
        <w:spacing w:line="360" w:lineRule="auto"/>
        <w:ind w:firstLine="720"/>
        <w:rPr>
          <w:rFonts w:ascii="Candara" w:hAnsi="Candara"/>
        </w:rPr>
      </w:pPr>
      <w:r w:rsidRPr="003427A6">
        <w:rPr>
          <w:rFonts w:ascii="Candara" w:hAnsi="Candara"/>
        </w:rPr>
        <w:t xml:space="preserve">We have described in detail how a strong, off-target effect on NHE1 and NHE3 could explain the substantial clinical effects seen in terms of </w:t>
      </w:r>
      <w:r w:rsidR="00642BE4" w:rsidRPr="003427A6">
        <w:rPr>
          <w:rFonts w:ascii="Candara" w:hAnsi="Candara"/>
        </w:rPr>
        <w:t>HF</w:t>
      </w:r>
      <w:r w:rsidRPr="003427A6">
        <w:rPr>
          <w:rFonts w:ascii="Candara" w:hAnsi="Candara"/>
        </w:rPr>
        <w:t xml:space="preserve"> hospitalization, cardiovascular death, and attenuation of the progression of kidney disease reported in the EMPA-REG OUTCOME, CANV</w:t>
      </w:r>
      <w:r w:rsidR="004942F3" w:rsidRPr="003427A6">
        <w:rPr>
          <w:rFonts w:ascii="Candara" w:hAnsi="Candara"/>
        </w:rPr>
        <w:t>AS, and DECLARE TIMI-58 trials.</w:t>
      </w:r>
      <w:r w:rsidR="00B106AB" w:rsidRPr="003427A6">
        <w:rPr>
          <w:rFonts w:ascii="Candara" w:hAnsi="Candara"/>
        </w:rPr>
        <w:t xml:space="preserve">  A meta-analysis of the three trials found that the reduction in atherosclerotic events and cardiovascular death was dependent on patients having known atherosclerotic disease at the time of event.</w:t>
      </w:r>
      <w:r w:rsidR="00B106AB" w:rsidRPr="003427A6">
        <w:rPr>
          <w:rStyle w:val="af8"/>
          <w:rFonts w:ascii="Candara" w:hAnsi="Candara"/>
        </w:rPr>
        <w:endnoteReference w:id="101"/>
      </w:r>
      <w:r w:rsidR="00B106AB" w:rsidRPr="003427A6">
        <w:rPr>
          <w:rFonts w:ascii="Candara" w:hAnsi="Candara"/>
        </w:rPr>
        <w:t xml:space="preserve">  While there was a trend towards significance for patients with multiple risk factors, it was not statistically significant.  However, reductions in HF hospitalization were consistently reduced across all </w:t>
      </w:r>
      <w:r w:rsidR="00274D51" w:rsidRPr="003427A6">
        <w:rPr>
          <w:rFonts w:ascii="Candara" w:hAnsi="Candara"/>
        </w:rPr>
        <w:t>patients</w:t>
      </w:r>
      <w:r w:rsidR="00B106AB" w:rsidRPr="003427A6">
        <w:rPr>
          <w:rFonts w:ascii="Candara" w:hAnsi="Candara"/>
        </w:rPr>
        <w:t>.</w:t>
      </w:r>
      <w:r w:rsidR="00834812" w:rsidRPr="003427A6">
        <w:rPr>
          <w:rFonts w:ascii="Candara" w:hAnsi="Candara"/>
        </w:rPr>
        <w:t xml:space="preserve"> </w:t>
      </w:r>
      <w:r w:rsidR="00693F1D" w:rsidRPr="003427A6">
        <w:rPr>
          <w:rFonts w:ascii="Candara" w:hAnsi="Candara"/>
        </w:rPr>
        <w:t xml:space="preserve">  Additional retrospective studies have also observed these clinical findings.</w:t>
      </w:r>
      <w:r w:rsidR="00693F1D" w:rsidRPr="003427A6">
        <w:rPr>
          <w:rStyle w:val="af8"/>
          <w:rFonts w:ascii="Candara" w:hAnsi="Candara"/>
        </w:rPr>
        <w:endnoteReference w:id="102"/>
      </w:r>
      <w:r w:rsidR="00834812" w:rsidRPr="003427A6">
        <w:rPr>
          <w:rFonts w:ascii="Candara" w:hAnsi="Candara"/>
        </w:rPr>
        <w:t xml:space="preserve"> Upregulation of NHE1 in the setting of known </w:t>
      </w:r>
      <w:r w:rsidR="008E4AB0" w:rsidRPr="003427A6">
        <w:rPr>
          <w:rFonts w:ascii="Candara" w:hAnsi="Candara"/>
        </w:rPr>
        <w:t>myocardial</w:t>
      </w:r>
      <w:r w:rsidR="00834812" w:rsidRPr="003427A6">
        <w:rPr>
          <w:rFonts w:ascii="Candara" w:hAnsi="Candara"/>
        </w:rPr>
        <w:t xml:space="preserve"> disease and pharmacologic inhibition of </w:t>
      </w:r>
      <w:r w:rsidRPr="003427A6">
        <w:rPr>
          <w:rFonts w:ascii="Candara" w:hAnsi="Candara"/>
        </w:rPr>
        <w:t xml:space="preserve">NHE1 </w:t>
      </w:r>
      <w:r w:rsidR="00834812" w:rsidRPr="003427A6">
        <w:rPr>
          <w:rFonts w:ascii="Candara" w:hAnsi="Candara"/>
        </w:rPr>
        <w:t xml:space="preserve">with SGLT2i </w:t>
      </w:r>
      <w:r w:rsidRPr="003427A6">
        <w:rPr>
          <w:rFonts w:ascii="Candara" w:hAnsi="Candara"/>
        </w:rPr>
        <w:t>would also explain the effects reported on the rates of</w:t>
      </w:r>
      <w:r w:rsidR="00023335" w:rsidRPr="003427A6">
        <w:rPr>
          <w:rFonts w:ascii="Candara" w:hAnsi="Candara"/>
        </w:rPr>
        <w:t xml:space="preserve"> fatal</w:t>
      </w:r>
      <w:r w:rsidRPr="003427A6">
        <w:rPr>
          <w:rFonts w:ascii="Candara" w:hAnsi="Candara"/>
        </w:rPr>
        <w:t xml:space="preserve"> ischemic stroke and </w:t>
      </w:r>
      <w:r w:rsidR="00FE775B" w:rsidRPr="003427A6">
        <w:rPr>
          <w:rFonts w:ascii="Candara" w:hAnsi="Candara"/>
        </w:rPr>
        <w:t>MI</w:t>
      </w:r>
      <w:r w:rsidR="00642BE4" w:rsidRPr="003427A6">
        <w:rPr>
          <w:rFonts w:ascii="Candara" w:hAnsi="Candara"/>
        </w:rPr>
        <w:t>;</w:t>
      </w:r>
      <w:r w:rsidRPr="003427A6">
        <w:rPr>
          <w:rFonts w:ascii="Candara" w:hAnsi="Candara"/>
        </w:rPr>
        <w:t xml:space="preserve"> </w:t>
      </w:r>
      <w:r w:rsidR="00834812" w:rsidRPr="003427A6">
        <w:rPr>
          <w:rFonts w:ascii="Candara" w:hAnsi="Candara"/>
        </w:rPr>
        <w:t>importantly</w:t>
      </w:r>
      <w:r w:rsidRPr="003427A6">
        <w:rPr>
          <w:rFonts w:ascii="Candara" w:hAnsi="Candara"/>
        </w:rPr>
        <w:t xml:space="preserve">, </w:t>
      </w:r>
      <w:r w:rsidR="00834812" w:rsidRPr="003427A6">
        <w:rPr>
          <w:rFonts w:ascii="Candara" w:hAnsi="Candara"/>
        </w:rPr>
        <w:t xml:space="preserve">NHE1 inhibition as a </w:t>
      </w:r>
      <w:r w:rsidRPr="003427A6">
        <w:rPr>
          <w:rFonts w:ascii="Candara" w:hAnsi="Candara"/>
        </w:rPr>
        <w:t>mechanism is more likely to impact the survivability of these events and hence is part of the explanation of the</w:t>
      </w:r>
      <w:r w:rsidR="00834812" w:rsidRPr="003427A6">
        <w:rPr>
          <w:rFonts w:ascii="Candara" w:hAnsi="Candara"/>
        </w:rPr>
        <w:t xml:space="preserve"> greater</w:t>
      </w:r>
      <w:r w:rsidRPr="003427A6">
        <w:rPr>
          <w:rFonts w:ascii="Candara" w:hAnsi="Candara"/>
        </w:rPr>
        <w:t xml:space="preserve"> reduction cardiovascular death</w:t>
      </w:r>
      <w:r w:rsidR="00834812" w:rsidRPr="003427A6">
        <w:rPr>
          <w:rFonts w:ascii="Candara" w:hAnsi="Candara"/>
        </w:rPr>
        <w:t xml:space="preserve"> than in the nonfatal events themselves</w:t>
      </w:r>
      <w:r w:rsidRPr="003427A6">
        <w:rPr>
          <w:rFonts w:ascii="Candara" w:hAnsi="Candara"/>
        </w:rPr>
        <w:t>.</w:t>
      </w:r>
      <w:r w:rsidR="003D57D0" w:rsidRPr="003427A6">
        <w:rPr>
          <w:rFonts w:ascii="Candara" w:hAnsi="Candara"/>
        </w:rPr>
        <w:t xml:space="preserve">  The biologic plausibility that SGLT2i are also NHE inhibitors is very strong</w:t>
      </w:r>
      <w:r w:rsidR="00642BE4" w:rsidRPr="003427A6">
        <w:rPr>
          <w:rFonts w:ascii="Candara" w:hAnsi="Candara"/>
        </w:rPr>
        <w:t>. It is</w:t>
      </w:r>
      <w:r w:rsidR="003D57D0" w:rsidRPr="003427A6">
        <w:rPr>
          <w:rFonts w:ascii="Candara" w:hAnsi="Candara"/>
        </w:rPr>
        <w:t xml:space="preserve"> based on what is known about </w:t>
      </w:r>
      <w:r w:rsidR="00642BE4" w:rsidRPr="003427A6">
        <w:rPr>
          <w:rFonts w:ascii="Candara" w:hAnsi="Candara"/>
        </w:rPr>
        <w:t xml:space="preserve">the </w:t>
      </w:r>
      <w:r w:rsidR="003D57D0" w:rsidRPr="003427A6">
        <w:rPr>
          <w:rFonts w:ascii="Candara" w:hAnsi="Candara"/>
        </w:rPr>
        <w:t xml:space="preserve">molecular homology of </w:t>
      </w:r>
      <w:r w:rsidR="0099096E" w:rsidRPr="003427A6">
        <w:rPr>
          <w:rFonts w:ascii="Candara" w:hAnsi="Candara"/>
        </w:rPr>
        <w:t xml:space="preserve">SGLT </w:t>
      </w:r>
      <w:r w:rsidR="003D57D0" w:rsidRPr="003427A6">
        <w:rPr>
          <w:rFonts w:ascii="Candara" w:hAnsi="Candara"/>
        </w:rPr>
        <w:t xml:space="preserve">and NHE channels, binding studies, and interventional physiologic experiments </w:t>
      </w:r>
      <w:r w:rsidR="00642BE4" w:rsidRPr="003427A6">
        <w:rPr>
          <w:rFonts w:ascii="Candara" w:hAnsi="Candara"/>
        </w:rPr>
        <w:t xml:space="preserve">which all demonstrate </w:t>
      </w:r>
      <w:r w:rsidR="003D57D0" w:rsidRPr="003427A6">
        <w:rPr>
          <w:rFonts w:ascii="Candara" w:hAnsi="Candara"/>
        </w:rPr>
        <w:t>a direct NHE inhibitory of three SGLT2i:  empagliflozin, canagliflozin, and dapagliflozin.</w:t>
      </w:r>
      <w:r w:rsidR="00693F1D" w:rsidRPr="003427A6">
        <w:rPr>
          <w:rStyle w:val="af8"/>
          <w:rFonts w:ascii="Candara" w:hAnsi="Candara"/>
        </w:rPr>
        <w:endnoteReference w:id="103"/>
      </w:r>
    </w:p>
    <w:p w14:paraId="644D3BDB" w14:textId="4D26413D" w:rsidR="006911A2" w:rsidRPr="003427A6" w:rsidRDefault="006911A2" w:rsidP="00CE31C7">
      <w:pPr>
        <w:spacing w:line="360" w:lineRule="auto"/>
        <w:ind w:firstLine="720"/>
        <w:rPr>
          <w:rFonts w:ascii="Candara" w:hAnsi="Candara"/>
        </w:rPr>
      </w:pPr>
      <w:r w:rsidRPr="003427A6">
        <w:rPr>
          <w:rFonts w:ascii="Candara" w:hAnsi="Candara"/>
        </w:rPr>
        <w:t>Recent reviews have called attention to NHE1</w:t>
      </w:r>
      <w:r w:rsidR="003D57D0" w:rsidRPr="003427A6">
        <w:rPr>
          <w:rFonts w:ascii="Candara" w:hAnsi="Candara"/>
        </w:rPr>
        <w:t xml:space="preserve"> and relationships to myocardial energetics</w:t>
      </w:r>
      <w:r w:rsidRPr="003427A6">
        <w:rPr>
          <w:rFonts w:ascii="Candara" w:hAnsi="Candara"/>
        </w:rPr>
        <w:t xml:space="preserve"> as the most plausible mechanism explaining the favorable impact on both phenotypes in </w:t>
      </w:r>
      <w:r w:rsidR="00642BE4" w:rsidRPr="003427A6">
        <w:rPr>
          <w:rFonts w:ascii="Candara" w:hAnsi="Candara"/>
        </w:rPr>
        <w:t>HF</w:t>
      </w:r>
      <w:r w:rsidRPr="003427A6">
        <w:rPr>
          <w:rFonts w:ascii="Candara" w:hAnsi="Candara"/>
        </w:rPr>
        <w:t>.</w:t>
      </w:r>
      <w:r w:rsidR="00FD27D0" w:rsidRPr="003427A6">
        <w:rPr>
          <w:rStyle w:val="af8"/>
          <w:rFonts w:ascii="Candara" w:hAnsi="Candara"/>
        </w:rPr>
        <w:endnoteReference w:id="104"/>
      </w:r>
      <w:r w:rsidR="00B106AB" w:rsidRPr="003427A6">
        <w:rPr>
          <w:rFonts w:ascii="Candara" w:hAnsi="Candara"/>
        </w:rPr>
        <w:t xml:space="preserve"> </w:t>
      </w:r>
      <w:r w:rsidR="00B106AB" w:rsidRPr="003427A6">
        <w:rPr>
          <w:rStyle w:val="af8"/>
          <w:rFonts w:ascii="Candara" w:hAnsi="Candara"/>
        </w:rPr>
        <w:endnoteReference w:id="105"/>
      </w:r>
      <w:r w:rsidRPr="003427A6">
        <w:rPr>
          <w:rFonts w:ascii="Candara" w:hAnsi="Candara"/>
        </w:rPr>
        <w:t xml:space="preserve"> </w:t>
      </w:r>
      <w:r w:rsidR="00577C70" w:rsidRPr="003427A6">
        <w:rPr>
          <w:rStyle w:val="af8"/>
          <w:rFonts w:ascii="Candara" w:hAnsi="Candara"/>
        </w:rPr>
        <w:endnoteReference w:id="106"/>
      </w:r>
      <w:r w:rsidR="00834812" w:rsidRPr="003427A6">
        <w:rPr>
          <w:rFonts w:ascii="Candara" w:hAnsi="Candara"/>
        </w:rPr>
        <w:t xml:space="preserve"> </w:t>
      </w:r>
      <w:r w:rsidR="00834812" w:rsidRPr="003427A6">
        <w:rPr>
          <w:rStyle w:val="af8"/>
          <w:rFonts w:ascii="Candara" w:hAnsi="Candara"/>
        </w:rPr>
        <w:endnoteReference w:id="107"/>
      </w:r>
      <w:r w:rsidRPr="003427A6">
        <w:rPr>
          <w:rFonts w:ascii="Candara" w:hAnsi="Candara"/>
        </w:rPr>
        <w:t xml:space="preserve">  </w:t>
      </w:r>
      <w:r w:rsidR="00E8605A" w:rsidRPr="003427A6">
        <w:rPr>
          <w:rFonts w:ascii="Candara" w:hAnsi="Candara"/>
        </w:rPr>
        <w:t>Mimicking</w:t>
      </w:r>
      <w:r w:rsidR="003D57D0" w:rsidRPr="003427A6">
        <w:rPr>
          <w:rFonts w:ascii="Candara" w:hAnsi="Candara"/>
        </w:rPr>
        <w:t xml:space="preserve"> the physiology of i</w:t>
      </w:r>
      <w:r w:rsidRPr="003427A6">
        <w:rPr>
          <w:rFonts w:ascii="Candara" w:hAnsi="Candara"/>
        </w:rPr>
        <w:t>schemic preconditioning and favorable upregulation of gene programs that result in improved myocardial performance and resistance to hypoxic injury at the cellular level</w:t>
      </w:r>
      <w:r w:rsidR="0080012B" w:rsidRPr="003427A6">
        <w:rPr>
          <w:rFonts w:ascii="Candara" w:hAnsi="Candara"/>
        </w:rPr>
        <w:t xml:space="preserve"> would explain benefit in </w:t>
      </w:r>
      <w:r w:rsidR="005F3A19" w:rsidRPr="003427A6">
        <w:rPr>
          <w:rFonts w:ascii="Candara" w:hAnsi="Candara"/>
        </w:rPr>
        <w:t xml:space="preserve">HF with preserved </w:t>
      </w:r>
      <w:r w:rsidR="00C63F81" w:rsidRPr="003427A6">
        <w:rPr>
          <w:rFonts w:ascii="Candara" w:hAnsi="Candara"/>
        </w:rPr>
        <w:t>or</w:t>
      </w:r>
      <w:r w:rsidR="005F3A19" w:rsidRPr="003427A6">
        <w:rPr>
          <w:rFonts w:ascii="Candara" w:hAnsi="Candara"/>
        </w:rPr>
        <w:t xml:space="preserve"> reduced ejection fraction</w:t>
      </w:r>
      <w:r w:rsidR="0080012B" w:rsidRPr="003427A6">
        <w:rPr>
          <w:rFonts w:ascii="Candara" w:hAnsi="Candara"/>
        </w:rPr>
        <w:t xml:space="preserve">.   Because the cardiovascular benefits of SGLT2i are </w:t>
      </w:r>
      <w:r w:rsidR="0080012B" w:rsidRPr="003427A6">
        <w:rPr>
          <w:rFonts w:ascii="Candara" w:hAnsi="Candara"/>
        </w:rPr>
        <w:lastRenderedPageBreak/>
        <w:t>independent from the degree of HbA1C reduction and baseline eGFR, it is very likely that pharmacologic ischemic preconditioning and or more favorable myocardial energetics are the mechanisms of myocardial benefit as opposed to diuresis or theorized chronic volume contraction.  In support of this idea, inhibition of hematoblast NHE1 and upregulation of erythropoiesis are concordant with the cardiovascular benefits of SGLT2i.   The improvement of T2DM and CKD associated anemia could be viewed as salutary effects</w:t>
      </w:r>
      <w:r w:rsidR="003D57D0" w:rsidRPr="003427A6">
        <w:rPr>
          <w:rFonts w:ascii="Candara" w:hAnsi="Candara"/>
        </w:rPr>
        <w:t xml:space="preserve"> for the heart</w:t>
      </w:r>
      <w:r w:rsidR="0080012B" w:rsidRPr="003427A6">
        <w:rPr>
          <w:rFonts w:ascii="Candara" w:hAnsi="Candara"/>
        </w:rPr>
        <w:t xml:space="preserve"> as well.</w:t>
      </w:r>
      <w:r w:rsidR="002A66D5" w:rsidRPr="003427A6">
        <w:rPr>
          <w:rStyle w:val="af8"/>
          <w:rFonts w:ascii="Candara" w:hAnsi="Candara"/>
        </w:rPr>
        <w:endnoteReference w:id="108"/>
      </w:r>
    </w:p>
    <w:p w14:paraId="59C5DBD9" w14:textId="29EBBF77" w:rsidR="0080012B" w:rsidRPr="003427A6" w:rsidRDefault="0080012B" w:rsidP="001A025D">
      <w:pPr>
        <w:spacing w:line="360" w:lineRule="auto"/>
        <w:rPr>
          <w:rFonts w:ascii="Candara" w:hAnsi="Candara"/>
          <w:color w:val="0D0D0D" w:themeColor="text1" w:themeTint="F2"/>
        </w:rPr>
      </w:pPr>
      <w:r w:rsidRPr="003427A6">
        <w:rPr>
          <w:rFonts w:ascii="Candara" w:hAnsi="Candara"/>
          <w:color w:val="0D0D0D" w:themeColor="text1" w:themeTint="F2"/>
        </w:rPr>
        <w:tab/>
        <w:t>Inhibition of renal NHE3 with SGLT2i may be a mechanism to explain further protection against the adverse impact of angiotensi</w:t>
      </w:r>
      <w:r w:rsidR="00FD27D0" w:rsidRPr="003427A6">
        <w:rPr>
          <w:rFonts w:ascii="Candara" w:hAnsi="Candara"/>
          <w:color w:val="0D0D0D" w:themeColor="text1" w:themeTint="F2"/>
        </w:rPr>
        <w:t>n</w:t>
      </w:r>
      <w:r w:rsidRPr="003427A6">
        <w:rPr>
          <w:rFonts w:ascii="Candara" w:hAnsi="Candara"/>
          <w:color w:val="0D0D0D" w:themeColor="text1" w:themeTint="F2"/>
        </w:rPr>
        <w:t xml:space="preserve"> II in the proximal tubules.</w:t>
      </w:r>
      <w:r w:rsidR="00C51282" w:rsidRPr="003427A6">
        <w:rPr>
          <w:rFonts w:ascii="Candara" w:hAnsi="Candara"/>
          <w:color w:val="0D0D0D" w:themeColor="text1" w:themeTint="F2"/>
        </w:rPr>
        <w:t xml:space="preserve">  As in the heart, SGLT2i inhibition of NHE attenuates renal ischemia reperfusion injury.</w:t>
      </w:r>
      <w:r w:rsidR="00C51282" w:rsidRPr="003427A6">
        <w:rPr>
          <w:rStyle w:val="af8"/>
          <w:rFonts w:ascii="Candara" w:hAnsi="Candara"/>
          <w:color w:val="0D0D0D" w:themeColor="text1" w:themeTint="F2"/>
        </w:rPr>
        <w:endnoteReference w:id="109"/>
      </w:r>
      <w:r w:rsidRPr="003427A6">
        <w:rPr>
          <w:rFonts w:ascii="Candara" w:hAnsi="Candara"/>
          <w:color w:val="0D0D0D" w:themeColor="text1" w:themeTint="F2"/>
        </w:rPr>
        <w:t xml:space="preserve">   Additionally, the role of NHE3 inhibition in concert with glycosuria and natriuresis on tubulo-glomerular feedback resulting in an increase in afferent arteriolar tone and a reduction in glomerular blood flow are areas of active research </w:t>
      </w:r>
      <w:r w:rsidR="00E8605A" w:rsidRPr="003427A6">
        <w:rPr>
          <w:rFonts w:ascii="Candara" w:hAnsi="Candara"/>
          <w:color w:val="0D0D0D" w:themeColor="text1" w:themeTint="F2"/>
        </w:rPr>
        <w:t>to</w:t>
      </w:r>
      <w:r w:rsidRPr="003427A6">
        <w:rPr>
          <w:rFonts w:ascii="Candara" w:hAnsi="Candara"/>
          <w:color w:val="0D0D0D" w:themeColor="text1" w:themeTint="F2"/>
        </w:rPr>
        <w:t xml:space="preserve"> explain the renal impact of SGLT2i.   This clinical effect appears to be a relatively immediate minor reduction in eGFR which is then sustained and protected from the time related loss of eGFR seen in T2DM.  There is a reduction in the progression of albuminuria, but this appears to be a minor effect.</w:t>
      </w:r>
    </w:p>
    <w:p w14:paraId="18F4CBFB" w14:textId="72A08744" w:rsidR="00AA21DC" w:rsidRPr="003427A6" w:rsidRDefault="0080012B" w:rsidP="001A025D">
      <w:pPr>
        <w:spacing w:line="360" w:lineRule="auto"/>
        <w:rPr>
          <w:rFonts w:ascii="Candara" w:hAnsi="Candara"/>
          <w:color w:val="0D0D0D" w:themeColor="text1" w:themeTint="F2"/>
        </w:rPr>
      </w:pPr>
      <w:r w:rsidRPr="003427A6">
        <w:rPr>
          <w:rFonts w:ascii="Candara" w:hAnsi="Candara"/>
          <w:color w:val="0D0D0D" w:themeColor="text1" w:themeTint="F2"/>
        </w:rPr>
        <w:tab/>
      </w:r>
      <w:r w:rsidR="00140188" w:rsidRPr="003427A6">
        <w:rPr>
          <w:rFonts w:ascii="Candara" w:hAnsi="Candara"/>
          <w:color w:val="0D0D0D" w:themeColor="text1" w:themeTint="F2"/>
        </w:rPr>
        <w:t>In our view,</w:t>
      </w:r>
      <w:r w:rsidRPr="003427A6">
        <w:rPr>
          <w:rFonts w:ascii="Candara" w:hAnsi="Candara"/>
          <w:color w:val="0D0D0D" w:themeColor="text1" w:themeTint="F2"/>
        </w:rPr>
        <w:t xml:space="preserve"> SGLT2i </w:t>
      </w:r>
      <w:r w:rsidR="00140188" w:rsidRPr="003427A6">
        <w:rPr>
          <w:rFonts w:ascii="Candara" w:hAnsi="Candara"/>
          <w:color w:val="0D0D0D" w:themeColor="text1" w:themeTint="F2"/>
        </w:rPr>
        <w:t xml:space="preserve">inhibition of NHE </w:t>
      </w:r>
      <w:r w:rsidR="00F56A0E" w:rsidRPr="003427A6">
        <w:rPr>
          <w:rFonts w:ascii="Candara" w:hAnsi="Candara"/>
          <w:color w:val="0D0D0D" w:themeColor="text1" w:themeTint="F2"/>
        </w:rPr>
        <w:t>represents a plausible mechanistic pathway</w:t>
      </w:r>
      <w:r w:rsidR="006F2B1D" w:rsidRPr="003427A6">
        <w:rPr>
          <w:rFonts w:ascii="Candara" w:hAnsi="Candara"/>
          <w:color w:val="0D0D0D" w:themeColor="text1" w:themeTint="F2"/>
        </w:rPr>
        <w:t xml:space="preserve"> for the</w:t>
      </w:r>
      <w:r w:rsidR="00140188" w:rsidRPr="003427A6">
        <w:rPr>
          <w:rFonts w:ascii="Candara" w:hAnsi="Candara"/>
          <w:color w:val="0D0D0D" w:themeColor="text1" w:themeTint="F2"/>
        </w:rPr>
        <w:t xml:space="preserve"> </w:t>
      </w:r>
      <w:r w:rsidR="001D7B3A" w:rsidRPr="003427A6">
        <w:rPr>
          <w:rFonts w:ascii="Candara" w:hAnsi="Candara"/>
        </w:rPr>
        <w:t xml:space="preserve">positive cardiorenal effects as well as the </w:t>
      </w:r>
      <w:r w:rsidR="00140188" w:rsidRPr="003427A6">
        <w:rPr>
          <w:rFonts w:ascii="Candara" w:hAnsi="Candara"/>
          <w:color w:val="0D0D0D" w:themeColor="text1" w:themeTint="F2"/>
        </w:rPr>
        <w:t xml:space="preserve">potential adverse effects of DKA, metabolic bone disease, amputation, and Fournier’s </w:t>
      </w:r>
      <w:r w:rsidR="00140188" w:rsidRPr="003427A6">
        <w:rPr>
          <w:rFonts w:ascii="Candara" w:hAnsi="Candara"/>
        </w:rPr>
        <w:t>gangrene</w:t>
      </w:r>
      <w:r w:rsidR="001D7B3A" w:rsidRPr="003427A6">
        <w:rPr>
          <w:rFonts w:ascii="Candara" w:hAnsi="Candara"/>
        </w:rPr>
        <w:t xml:space="preserve"> (Figure 5)</w:t>
      </w:r>
      <w:r w:rsidR="00140188" w:rsidRPr="003427A6">
        <w:rPr>
          <w:rFonts w:ascii="Candara" w:hAnsi="Candara"/>
        </w:rPr>
        <w:t xml:space="preserve">.  </w:t>
      </w:r>
      <w:r w:rsidR="00140188" w:rsidRPr="003427A6">
        <w:rPr>
          <w:rFonts w:ascii="Candara" w:hAnsi="Candara"/>
          <w:color w:val="0D0D0D" w:themeColor="text1" w:themeTint="F2"/>
        </w:rPr>
        <w:t xml:space="preserve">Of these three, the amputation risk is most plausibly explained by NHE inhibition.  The progression of diabetic foot ulcers, critical limb ischemia, deep tissue infection, and osteomyelitis are all related to tissue hypoxia and acidosis.   If SGLT2i can slow the restoration of pH in the setting of ischemia or acid loading as well as inhibit the upregulation of NHE in the setting of infection, it is understandable how SGLT2i </w:t>
      </w:r>
      <w:r w:rsidR="00C63F81" w:rsidRPr="003427A6">
        <w:rPr>
          <w:rFonts w:ascii="Candara" w:hAnsi="Candara"/>
          <w:color w:val="0D0D0D" w:themeColor="text1" w:themeTint="F2"/>
        </w:rPr>
        <w:t xml:space="preserve">– </w:t>
      </w:r>
      <w:r w:rsidR="00140188" w:rsidRPr="003427A6">
        <w:rPr>
          <w:rFonts w:ascii="Candara" w:hAnsi="Candara"/>
          <w:color w:val="0D0D0D" w:themeColor="text1" w:themeTint="F2"/>
        </w:rPr>
        <w:t>despite improving glycemic control and exerting cardiorenal benefit</w:t>
      </w:r>
      <w:r w:rsidR="00C63F81" w:rsidRPr="003427A6">
        <w:rPr>
          <w:rFonts w:ascii="Candara" w:hAnsi="Candara"/>
          <w:color w:val="0D0D0D" w:themeColor="text1" w:themeTint="F2"/>
        </w:rPr>
        <w:t xml:space="preserve"> –</w:t>
      </w:r>
      <w:r w:rsidR="00140188" w:rsidRPr="003427A6">
        <w:rPr>
          <w:rFonts w:ascii="Candara" w:hAnsi="Candara"/>
          <w:color w:val="0D0D0D" w:themeColor="text1" w:themeTint="F2"/>
        </w:rPr>
        <w:t xml:space="preserve"> could accelerate the risks of amputations in T2DM patients with foot ulcers/gangrene/critical limb ischemia.  In one analysis from CANVAS, patients who suffered one or more amputation</w:t>
      </w:r>
      <w:r w:rsidR="00C63F81" w:rsidRPr="003427A6">
        <w:rPr>
          <w:rFonts w:ascii="Candara" w:hAnsi="Candara"/>
          <w:color w:val="0D0D0D" w:themeColor="text1" w:themeTint="F2"/>
        </w:rPr>
        <w:t>s</w:t>
      </w:r>
      <w:r w:rsidR="00140188" w:rsidRPr="003427A6">
        <w:rPr>
          <w:rFonts w:ascii="Candara" w:hAnsi="Candara"/>
          <w:color w:val="0D0D0D" w:themeColor="text1" w:themeTint="F2"/>
        </w:rPr>
        <w:t xml:space="preserve"> had the greatest relative risk reductions in cardiovascular endpoints. </w:t>
      </w:r>
      <w:r w:rsidR="006666FC" w:rsidRPr="003427A6">
        <w:rPr>
          <w:rFonts w:ascii="Candara" w:hAnsi="Candara"/>
        </w:rPr>
        <w:t>While a</w:t>
      </w:r>
      <w:r w:rsidR="00274D51" w:rsidRPr="003427A6">
        <w:rPr>
          <w:rFonts w:ascii="Candara" w:hAnsi="Candara"/>
        </w:rPr>
        <w:t xml:space="preserve"> sub-a</w:t>
      </w:r>
      <w:r w:rsidR="006666FC" w:rsidRPr="003427A6">
        <w:rPr>
          <w:rFonts w:ascii="Candara" w:hAnsi="Candara"/>
        </w:rPr>
        <w:t>n</w:t>
      </w:r>
      <w:r w:rsidR="00274D51" w:rsidRPr="003427A6">
        <w:rPr>
          <w:rFonts w:ascii="Candara" w:hAnsi="Candara"/>
        </w:rPr>
        <w:t>alysis of the</w:t>
      </w:r>
      <w:r w:rsidR="006666FC" w:rsidRPr="003427A6">
        <w:rPr>
          <w:rFonts w:ascii="Candara" w:hAnsi="Candara"/>
        </w:rPr>
        <w:t xml:space="preserve"> EMPA-REG OUTCOME </w:t>
      </w:r>
      <w:r w:rsidR="00274D51" w:rsidRPr="003427A6">
        <w:rPr>
          <w:rFonts w:ascii="Candara" w:hAnsi="Candara"/>
        </w:rPr>
        <w:t>trial</w:t>
      </w:r>
      <w:r w:rsidR="006666FC" w:rsidRPr="003427A6">
        <w:rPr>
          <w:rFonts w:ascii="Candara" w:hAnsi="Candara"/>
        </w:rPr>
        <w:t xml:space="preserve"> did not find an increased amputation risk, </w:t>
      </w:r>
      <w:r w:rsidR="00274D51" w:rsidRPr="003427A6">
        <w:rPr>
          <w:rFonts w:ascii="Candara" w:hAnsi="Candara"/>
        </w:rPr>
        <w:t xml:space="preserve">the trial </w:t>
      </w:r>
      <w:bookmarkStart w:id="23" w:name="_Hlk2497996"/>
      <w:r w:rsidR="00274D51" w:rsidRPr="003427A6">
        <w:rPr>
          <w:rFonts w:ascii="Candara" w:hAnsi="Candara"/>
        </w:rPr>
        <w:t>did not</w:t>
      </w:r>
      <w:r w:rsidR="00774013" w:rsidRPr="003427A6">
        <w:rPr>
          <w:rFonts w:ascii="Candara" w:hAnsi="Candara"/>
        </w:rPr>
        <w:t xml:space="preserve"> specifically</w:t>
      </w:r>
      <w:r w:rsidR="00274D51" w:rsidRPr="003427A6">
        <w:rPr>
          <w:rFonts w:ascii="Candara" w:hAnsi="Candara"/>
        </w:rPr>
        <w:t xml:space="preserve"> re</w:t>
      </w:r>
      <w:r w:rsidR="00774013" w:rsidRPr="003427A6">
        <w:rPr>
          <w:rFonts w:ascii="Candara" w:hAnsi="Candara"/>
        </w:rPr>
        <w:t>port</w:t>
      </w:r>
      <w:r w:rsidR="006666FC" w:rsidRPr="003427A6">
        <w:rPr>
          <w:rFonts w:ascii="Candara" w:hAnsi="Candara"/>
        </w:rPr>
        <w:t xml:space="preserve"> </w:t>
      </w:r>
      <w:bookmarkEnd w:id="23"/>
      <w:r w:rsidR="006666FC" w:rsidRPr="003427A6">
        <w:rPr>
          <w:rFonts w:ascii="Candara" w:hAnsi="Candara"/>
        </w:rPr>
        <w:t xml:space="preserve">critical limb ischemia as an adverse </w:t>
      </w:r>
      <w:r w:rsidR="006666FC" w:rsidRPr="003427A6">
        <w:rPr>
          <w:rFonts w:ascii="Candara" w:hAnsi="Candara"/>
        </w:rPr>
        <w:lastRenderedPageBreak/>
        <w:t>outcome, while CANVAS did.</w:t>
      </w:r>
      <w:r w:rsidR="006666FC" w:rsidRPr="003427A6">
        <w:rPr>
          <w:rStyle w:val="af8"/>
          <w:rFonts w:ascii="Candara" w:hAnsi="Candara"/>
        </w:rPr>
        <w:endnoteReference w:id="110"/>
      </w:r>
      <w:r w:rsidR="006666FC" w:rsidRPr="003427A6">
        <w:rPr>
          <w:rFonts w:ascii="Candara" w:hAnsi="Candara"/>
        </w:rPr>
        <w:t xml:space="preserve"> Thus, the differential amputation risk between the two studies may</w:t>
      </w:r>
      <w:r w:rsidR="00274D51" w:rsidRPr="003427A6">
        <w:rPr>
          <w:rFonts w:ascii="Candara" w:hAnsi="Candara"/>
        </w:rPr>
        <w:t xml:space="preserve"> be partly attributable to a difference in definitions</w:t>
      </w:r>
      <w:r w:rsidR="006666FC" w:rsidRPr="003427A6">
        <w:rPr>
          <w:rFonts w:ascii="Candara" w:hAnsi="Candara"/>
        </w:rPr>
        <w:t>.</w:t>
      </w:r>
      <w:r w:rsidR="00140188" w:rsidRPr="003427A6">
        <w:rPr>
          <w:rFonts w:ascii="Candara" w:hAnsi="Candara"/>
        </w:rPr>
        <w:t xml:space="preserve"> </w:t>
      </w:r>
      <w:r w:rsidR="00140188" w:rsidRPr="003427A6">
        <w:rPr>
          <w:rFonts w:ascii="Candara" w:hAnsi="Candara"/>
          <w:color w:val="0D0D0D" w:themeColor="text1" w:themeTint="F2"/>
        </w:rPr>
        <w:t xml:space="preserve">NHE inhibition </w:t>
      </w:r>
      <w:r w:rsidR="00F56A0E" w:rsidRPr="003427A6">
        <w:rPr>
          <w:rFonts w:ascii="Candara" w:hAnsi="Candara"/>
          <w:color w:val="0D0D0D" w:themeColor="text1" w:themeTint="F2"/>
        </w:rPr>
        <w:t>appears to be a logical</w:t>
      </w:r>
      <w:r w:rsidR="00140188" w:rsidRPr="003427A6">
        <w:rPr>
          <w:rFonts w:ascii="Candara" w:hAnsi="Candara"/>
          <w:color w:val="0D0D0D" w:themeColor="text1" w:themeTint="F2"/>
        </w:rPr>
        <w:t xml:space="preserve"> explanation that could account for</w:t>
      </w:r>
      <w:r w:rsidR="006666FC" w:rsidRPr="003427A6">
        <w:rPr>
          <w:rFonts w:ascii="Candara" w:hAnsi="Candara"/>
          <w:color w:val="0D0D0D" w:themeColor="text1" w:themeTint="F2"/>
        </w:rPr>
        <w:t xml:space="preserve"> the amputation risk.</w:t>
      </w:r>
      <w:r w:rsidR="00140188" w:rsidRPr="003427A6">
        <w:rPr>
          <w:rFonts w:ascii="Candara" w:hAnsi="Candara"/>
          <w:color w:val="0D0D0D" w:themeColor="text1" w:themeTint="F2"/>
        </w:rPr>
        <w:t xml:space="preserve"> </w:t>
      </w:r>
    </w:p>
    <w:p w14:paraId="5CA839D9" w14:textId="46C641AE" w:rsidR="00F91263" w:rsidRPr="003427A6" w:rsidRDefault="007F5903" w:rsidP="00F91263">
      <w:pPr>
        <w:shd w:val="clear" w:color="auto" w:fill="FFFFFF"/>
        <w:spacing w:line="360" w:lineRule="auto"/>
        <w:rPr>
          <w:rFonts w:ascii="Candara" w:hAnsi="Candara"/>
          <w:color w:val="0D0D0D" w:themeColor="text1" w:themeTint="F2"/>
        </w:rPr>
      </w:pPr>
      <w:r w:rsidRPr="003427A6">
        <w:rPr>
          <w:rFonts w:ascii="Candara" w:hAnsi="Candara"/>
          <w:color w:val="0D0D0D" w:themeColor="text1" w:themeTint="F2"/>
        </w:rPr>
        <w:tab/>
        <w:t xml:space="preserve">There are many </w:t>
      </w:r>
      <w:r w:rsidR="00A27F34" w:rsidRPr="003427A6">
        <w:rPr>
          <w:rFonts w:ascii="Candara" w:hAnsi="Candara"/>
          <w:color w:val="0D0D0D" w:themeColor="text1" w:themeTint="F2"/>
        </w:rPr>
        <w:t xml:space="preserve">ongoing </w:t>
      </w:r>
      <w:r w:rsidRPr="003427A6">
        <w:rPr>
          <w:rFonts w:ascii="Candara" w:hAnsi="Candara"/>
          <w:color w:val="0D0D0D" w:themeColor="text1" w:themeTint="F2"/>
        </w:rPr>
        <w:t xml:space="preserve">large clinical trials with </w:t>
      </w:r>
      <w:r w:rsidR="00C63F81" w:rsidRPr="003427A6">
        <w:rPr>
          <w:rFonts w:ascii="Candara" w:hAnsi="Candara"/>
          <w:color w:val="0D0D0D" w:themeColor="text1" w:themeTint="F2"/>
        </w:rPr>
        <w:t>SGLT2i</w:t>
      </w:r>
      <w:r w:rsidRPr="003427A6">
        <w:rPr>
          <w:rFonts w:ascii="Candara" w:hAnsi="Candara"/>
          <w:color w:val="0D0D0D" w:themeColor="text1" w:themeTint="F2"/>
        </w:rPr>
        <w:t xml:space="preserve"> as a treatment for </w:t>
      </w:r>
      <w:r w:rsidR="00C63F81" w:rsidRPr="003427A6">
        <w:rPr>
          <w:rFonts w:ascii="Candara" w:hAnsi="Candara"/>
          <w:color w:val="0D0D0D" w:themeColor="text1" w:themeTint="F2"/>
        </w:rPr>
        <w:t>HF</w:t>
      </w:r>
      <w:r w:rsidRPr="003427A6">
        <w:rPr>
          <w:rFonts w:ascii="Candara" w:hAnsi="Candara"/>
          <w:color w:val="0D0D0D" w:themeColor="text1" w:themeTint="F2"/>
        </w:rPr>
        <w:t xml:space="preserve"> and CKD in those with T2DM and in some trials, even those without T2DM.</w:t>
      </w:r>
      <w:r w:rsidR="00577C70" w:rsidRPr="003427A6">
        <w:rPr>
          <w:rStyle w:val="af8"/>
          <w:rFonts w:ascii="Candara" w:hAnsi="Candara"/>
          <w:color w:val="0D0D0D" w:themeColor="text1" w:themeTint="F2"/>
        </w:rPr>
        <w:endnoteReference w:id="111"/>
      </w:r>
      <w:r w:rsidRPr="003427A6">
        <w:rPr>
          <w:rFonts w:ascii="Candara" w:hAnsi="Candara"/>
          <w:color w:val="0D0D0D" w:themeColor="text1" w:themeTint="F2"/>
        </w:rPr>
        <w:t xml:space="preserve">  The off-target NHE inhibitory effects of SGLT2i support the rationale for SGLT2i in patients without T2DM.   If positive outcomes are observed in the absence of </w:t>
      </w:r>
      <w:r w:rsidR="00FA08C3" w:rsidRPr="003427A6">
        <w:rPr>
          <w:rFonts w:ascii="Candara" w:hAnsi="Candara"/>
          <w:color w:val="0D0D0D" w:themeColor="text1" w:themeTint="F2"/>
        </w:rPr>
        <w:t>smaller</w:t>
      </w:r>
      <w:r w:rsidRPr="003427A6">
        <w:rPr>
          <w:rFonts w:ascii="Candara" w:hAnsi="Candara"/>
          <w:color w:val="0D0D0D" w:themeColor="text1" w:themeTint="F2"/>
        </w:rPr>
        <w:t xml:space="preserve"> reduction</w:t>
      </w:r>
      <w:r w:rsidR="00FA08C3" w:rsidRPr="003427A6">
        <w:rPr>
          <w:rFonts w:ascii="Candara" w:hAnsi="Candara"/>
          <w:color w:val="0D0D0D" w:themeColor="text1" w:themeTint="F2"/>
        </w:rPr>
        <w:t>s</w:t>
      </w:r>
      <w:r w:rsidRPr="003427A6">
        <w:rPr>
          <w:rFonts w:ascii="Candara" w:hAnsi="Candara"/>
          <w:color w:val="0D0D0D" w:themeColor="text1" w:themeTint="F2"/>
        </w:rPr>
        <w:t xml:space="preserve"> in HbA</w:t>
      </w:r>
      <w:r w:rsidR="00C63F81" w:rsidRPr="003427A6">
        <w:rPr>
          <w:rFonts w:ascii="Candara" w:hAnsi="Candara"/>
          <w:color w:val="0D0D0D" w:themeColor="text1" w:themeTint="F2"/>
        </w:rPr>
        <w:t>1</w:t>
      </w:r>
      <w:r w:rsidRPr="003427A6">
        <w:rPr>
          <w:rFonts w:ascii="Candara" w:hAnsi="Candara"/>
          <w:color w:val="0D0D0D" w:themeColor="text1" w:themeTint="F2"/>
        </w:rPr>
        <w:t>C, body weight,</w:t>
      </w:r>
      <w:r w:rsidR="00FA08C3" w:rsidRPr="003427A6">
        <w:rPr>
          <w:rFonts w:ascii="Candara" w:hAnsi="Candara"/>
          <w:color w:val="0D0D0D" w:themeColor="text1" w:themeTint="F2"/>
        </w:rPr>
        <w:t xml:space="preserve"> and </w:t>
      </w:r>
      <w:r w:rsidRPr="003427A6">
        <w:rPr>
          <w:rFonts w:ascii="Candara" w:hAnsi="Candara"/>
          <w:color w:val="0D0D0D" w:themeColor="text1" w:themeTint="F2"/>
        </w:rPr>
        <w:t>blood pressure, then inhibition of NHE as a global mechanism would be further supported.   There is a great need for additional preclinical investment in SGLT2i and NHE inhibition as this off-target effect may be amenable to drug design changes to optimize this important cellular metabolic effect.</w:t>
      </w:r>
    </w:p>
    <w:p w14:paraId="55F9FC44" w14:textId="724FAC1E" w:rsidR="007F5903" w:rsidRPr="003427A6" w:rsidRDefault="007F5903" w:rsidP="00F91263">
      <w:pPr>
        <w:shd w:val="clear" w:color="auto" w:fill="FFFFFF"/>
        <w:spacing w:line="360" w:lineRule="auto"/>
        <w:rPr>
          <w:rFonts w:ascii="Candara" w:hAnsi="Candara"/>
        </w:rPr>
      </w:pPr>
    </w:p>
    <w:p w14:paraId="1C59C394" w14:textId="3542CAD8" w:rsidR="007F5903" w:rsidRPr="003427A6" w:rsidRDefault="007F5903" w:rsidP="00F91263">
      <w:pPr>
        <w:shd w:val="clear" w:color="auto" w:fill="FFFFFF"/>
        <w:spacing w:line="360" w:lineRule="auto"/>
        <w:rPr>
          <w:rFonts w:ascii="Candara" w:hAnsi="Candara"/>
          <w:b/>
        </w:rPr>
      </w:pPr>
      <w:r w:rsidRPr="003427A6">
        <w:rPr>
          <w:rFonts w:ascii="Candara" w:hAnsi="Candara"/>
          <w:b/>
        </w:rPr>
        <w:t>SUMMARY</w:t>
      </w:r>
    </w:p>
    <w:p w14:paraId="5E6C967C" w14:textId="77777777" w:rsidR="00F0304D" w:rsidRPr="003427A6" w:rsidRDefault="00F0304D" w:rsidP="00F91263">
      <w:pPr>
        <w:shd w:val="clear" w:color="auto" w:fill="FFFFFF"/>
        <w:spacing w:line="360" w:lineRule="auto"/>
        <w:rPr>
          <w:rFonts w:ascii="Candara" w:hAnsi="Candara"/>
          <w:b/>
        </w:rPr>
      </w:pPr>
    </w:p>
    <w:p w14:paraId="294E0C0D" w14:textId="581544A2" w:rsidR="007F5903" w:rsidRPr="003427A6" w:rsidRDefault="007F5903" w:rsidP="00F91263">
      <w:pPr>
        <w:shd w:val="clear" w:color="auto" w:fill="FFFFFF"/>
        <w:spacing w:line="360" w:lineRule="auto"/>
        <w:rPr>
          <w:rFonts w:ascii="Candara" w:hAnsi="Candara"/>
        </w:rPr>
      </w:pPr>
      <w:r w:rsidRPr="003427A6">
        <w:rPr>
          <w:rFonts w:ascii="Candara" w:hAnsi="Candara"/>
        </w:rPr>
        <w:t xml:space="preserve">    The class of SG</w:t>
      </w:r>
      <w:r w:rsidR="00774013" w:rsidRPr="003427A6">
        <w:rPr>
          <w:rFonts w:ascii="Candara" w:hAnsi="Candara"/>
        </w:rPr>
        <w:t>L</w:t>
      </w:r>
      <w:r w:rsidRPr="003427A6">
        <w:rPr>
          <w:rFonts w:ascii="Candara" w:hAnsi="Candara"/>
        </w:rPr>
        <w:t xml:space="preserve">T2i agents </w:t>
      </w:r>
      <w:r w:rsidR="00C63F81" w:rsidRPr="003427A6">
        <w:rPr>
          <w:rFonts w:ascii="Candara" w:hAnsi="Candara"/>
        </w:rPr>
        <w:t xml:space="preserve">as </w:t>
      </w:r>
      <w:r w:rsidRPr="003427A6">
        <w:rPr>
          <w:rFonts w:ascii="Candara" w:hAnsi="Candara"/>
        </w:rPr>
        <w:t xml:space="preserve">strong inhibitors of NHE1 </w:t>
      </w:r>
      <w:r w:rsidR="00577C70" w:rsidRPr="003427A6">
        <w:rPr>
          <w:rFonts w:ascii="Candara" w:hAnsi="Candara"/>
        </w:rPr>
        <w:t>will likely be shown to either</w:t>
      </w:r>
      <w:r w:rsidRPr="003427A6">
        <w:rPr>
          <w:rFonts w:ascii="Candara" w:hAnsi="Candara"/>
        </w:rPr>
        <w:t xml:space="preserve"> moderate</w:t>
      </w:r>
      <w:r w:rsidR="00577C70" w:rsidRPr="003427A6">
        <w:rPr>
          <w:rFonts w:ascii="Candara" w:hAnsi="Candara"/>
        </w:rPr>
        <w:t xml:space="preserve"> or</w:t>
      </w:r>
      <w:r w:rsidRPr="003427A6">
        <w:rPr>
          <w:rFonts w:ascii="Candara" w:hAnsi="Candara"/>
        </w:rPr>
        <w:t xml:space="preserve"> inhibit NHE3 resulting in favorable changes at the cellular and tissue levels in the heart and kidney.  NHE inhibition is the most plausible explanation for the cardiorenal benefit of these agents.  In contrast, careful consideration of NHE inhibition brings to light the notion that this same mechanism likely explains the adverse effects of these agents described in human use including DKA, metabolic bone disease, amputations, and Fournier’s gangrene.</w:t>
      </w:r>
    </w:p>
    <w:p w14:paraId="6044936A" w14:textId="41D82A2A" w:rsidR="00623475" w:rsidRPr="003427A6" w:rsidRDefault="00623475" w:rsidP="00F91263">
      <w:pPr>
        <w:shd w:val="clear" w:color="auto" w:fill="FFFFFF"/>
        <w:spacing w:line="360" w:lineRule="auto"/>
        <w:rPr>
          <w:rFonts w:ascii="Candara" w:hAnsi="Candara"/>
        </w:rPr>
      </w:pPr>
    </w:p>
    <w:p w14:paraId="1CD6733D" w14:textId="7197A4AA" w:rsidR="00623475" w:rsidRPr="003427A6" w:rsidRDefault="00623475" w:rsidP="00F91263">
      <w:pPr>
        <w:shd w:val="clear" w:color="auto" w:fill="FFFFFF"/>
        <w:spacing w:line="360" w:lineRule="auto"/>
        <w:rPr>
          <w:rFonts w:ascii="Candara" w:hAnsi="Candara"/>
        </w:rPr>
      </w:pPr>
      <w:r w:rsidRPr="003427A6">
        <w:rPr>
          <w:rFonts w:ascii="Arial" w:hAnsi="Arial" w:cs="Arial"/>
          <w:color w:val="000000"/>
          <w:shd w:val="clear" w:color="auto" w:fill="FFFFFF"/>
        </w:rPr>
        <w:t>The authors are solely responsible for the design and conduct of this study, all study analyses and drafting and editing of the paper.</w:t>
      </w:r>
    </w:p>
    <w:p w14:paraId="7A88D436" w14:textId="77777777" w:rsidR="002F61BA" w:rsidRPr="003427A6" w:rsidRDefault="002F61BA">
      <w:pPr>
        <w:rPr>
          <w:rFonts w:ascii="Candara" w:hAnsi="Candara"/>
        </w:rPr>
      </w:pPr>
    </w:p>
    <w:p w14:paraId="1E4F2B28" w14:textId="77777777" w:rsidR="003A2836" w:rsidRPr="003427A6" w:rsidRDefault="003A2836">
      <w:pPr>
        <w:rPr>
          <w:rFonts w:ascii="Candara" w:hAnsi="Candara"/>
        </w:rPr>
      </w:pPr>
    </w:p>
    <w:p w14:paraId="38AF9F72" w14:textId="6BDA6088" w:rsidR="003A2836" w:rsidRPr="003427A6" w:rsidRDefault="003A2836" w:rsidP="003A2836">
      <w:pPr>
        <w:spacing w:line="360" w:lineRule="auto"/>
        <w:rPr>
          <w:rFonts w:ascii="Candara" w:hAnsi="Candara" w:cs="Arial"/>
        </w:rPr>
      </w:pPr>
      <w:r w:rsidRPr="003427A6">
        <w:rPr>
          <w:rFonts w:ascii="Candara" w:hAnsi="Candara" w:cs="Arial"/>
          <w:b/>
        </w:rPr>
        <w:t>Funding</w:t>
      </w:r>
      <w:r w:rsidRPr="003427A6">
        <w:rPr>
          <w:rFonts w:ascii="Candara" w:hAnsi="Candara" w:cs="Arial"/>
        </w:rPr>
        <w:t xml:space="preserve">: </w:t>
      </w:r>
      <w:r w:rsidR="00623475" w:rsidRPr="003427A6">
        <w:rPr>
          <w:rFonts w:ascii="Candara" w:hAnsi="Candara" w:cs="Arial"/>
        </w:rPr>
        <w:t>No extramural funding was used to support this work.</w:t>
      </w:r>
    </w:p>
    <w:p w14:paraId="745B5E3C" w14:textId="77777777" w:rsidR="002F61BA" w:rsidRPr="003427A6" w:rsidRDefault="002F61BA">
      <w:pPr>
        <w:rPr>
          <w:rFonts w:ascii="Candara" w:hAnsi="Candara"/>
        </w:rPr>
      </w:pPr>
    </w:p>
    <w:p w14:paraId="6E42099C" w14:textId="457A285C" w:rsidR="002F61BA" w:rsidRPr="003427A6" w:rsidRDefault="002F61BA" w:rsidP="009C0FDA">
      <w:pPr>
        <w:spacing w:line="360" w:lineRule="auto"/>
        <w:rPr>
          <w:rFonts w:ascii="Candara" w:hAnsi="Candara" w:cs="Arial"/>
          <w:sz w:val="22"/>
        </w:rPr>
      </w:pPr>
      <w:r w:rsidRPr="003427A6">
        <w:rPr>
          <w:rFonts w:ascii="Candara" w:hAnsi="Candara" w:cs="Arial"/>
          <w:b/>
          <w:sz w:val="22"/>
        </w:rPr>
        <w:t>Conflicts of Interest</w:t>
      </w:r>
      <w:r w:rsidRPr="003427A6">
        <w:rPr>
          <w:rFonts w:ascii="Candara" w:hAnsi="Candara" w:cs="Arial"/>
          <w:sz w:val="22"/>
        </w:rPr>
        <w:t>:</w:t>
      </w:r>
      <w:r w:rsidR="006F2B1D" w:rsidRPr="003427A6">
        <w:rPr>
          <w:rFonts w:ascii="Candara" w:hAnsi="Candara" w:cs="Arial"/>
          <w:sz w:val="22"/>
        </w:rPr>
        <w:t xml:space="preserve">  None</w:t>
      </w:r>
    </w:p>
    <w:p w14:paraId="49327955" w14:textId="30657BC2" w:rsidR="004E55EE" w:rsidRPr="003427A6" w:rsidRDefault="004E55EE" w:rsidP="009C0FDA">
      <w:pPr>
        <w:spacing w:line="360" w:lineRule="auto"/>
        <w:rPr>
          <w:rFonts w:ascii="Candara" w:hAnsi="Candara" w:cs="Arial"/>
          <w:b/>
          <w:sz w:val="22"/>
        </w:rPr>
      </w:pPr>
    </w:p>
    <w:p w14:paraId="40499F10" w14:textId="6367FDA1" w:rsidR="004E55EE" w:rsidRPr="003427A6" w:rsidRDefault="004E55EE">
      <w:pPr>
        <w:rPr>
          <w:rFonts w:ascii="Candara" w:hAnsi="Candara" w:cs="Arial"/>
          <w:b/>
          <w:sz w:val="22"/>
        </w:rPr>
      </w:pPr>
      <w:r w:rsidRPr="003427A6">
        <w:rPr>
          <w:rFonts w:ascii="Candara" w:hAnsi="Candara" w:cs="Arial"/>
          <w:b/>
          <w:sz w:val="22"/>
        </w:rPr>
        <w:br w:type="page"/>
      </w:r>
    </w:p>
    <w:p w14:paraId="2779FB02" w14:textId="6ADD70C7" w:rsidR="004E55EE" w:rsidRPr="003427A6" w:rsidRDefault="004E55EE" w:rsidP="009C0FDA">
      <w:pPr>
        <w:spacing w:line="360" w:lineRule="auto"/>
        <w:rPr>
          <w:rFonts w:ascii="Candara" w:hAnsi="Candara" w:cs="Arial"/>
          <w:b/>
          <w:sz w:val="22"/>
        </w:rPr>
      </w:pPr>
      <w:r w:rsidRPr="003427A6">
        <w:rPr>
          <w:rFonts w:ascii="Candara" w:hAnsi="Candara" w:cs="Arial"/>
          <w:b/>
          <w:sz w:val="22"/>
        </w:rPr>
        <w:lastRenderedPageBreak/>
        <w:t xml:space="preserve">Table 1.   </w:t>
      </w:r>
      <w:r w:rsidRPr="003427A6">
        <w:rPr>
          <w:rFonts w:ascii="Candara" w:hAnsi="Candara" w:cs="Arial"/>
          <w:sz w:val="22"/>
        </w:rPr>
        <w:t>Subtypes of sodium-proton antiporters otherwise known as sodium hydrogen exchangers.  These antiporter channels on the cell surface and surface of some organelles function by exchanging one proton out of the cell and one sodium into the cell</w:t>
      </w:r>
      <w:r w:rsidR="00720634" w:rsidRPr="003427A6">
        <w:rPr>
          <w:rFonts w:ascii="Candara" w:hAnsi="Candara" w:cs="Arial"/>
          <w:sz w:val="22"/>
        </w:rPr>
        <w:t>, restoring</w:t>
      </w:r>
      <w:r w:rsidRPr="003427A6">
        <w:rPr>
          <w:rFonts w:ascii="Candara" w:hAnsi="Candara" w:cs="Arial"/>
          <w:sz w:val="22"/>
        </w:rPr>
        <w:t xml:space="preserve"> intracellular </w:t>
      </w:r>
      <w:r w:rsidR="00E8605A" w:rsidRPr="003427A6">
        <w:rPr>
          <w:rFonts w:ascii="Candara" w:hAnsi="Candara" w:cs="Arial"/>
          <w:sz w:val="22"/>
        </w:rPr>
        <w:t>pH.</w:t>
      </w:r>
    </w:p>
    <w:p w14:paraId="31F10A45" w14:textId="4CF38DA6" w:rsidR="004E55EE" w:rsidRPr="003427A6" w:rsidRDefault="004E55EE" w:rsidP="009C0FDA">
      <w:pPr>
        <w:spacing w:line="360" w:lineRule="auto"/>
        <w:rPr>
          <w:rFonts w:ascii="Candara" w:hAnsi="Candara" w:cs="Arial"/>
          <w:b/>
          <w:sz w:val="22"/>
        </w:rPr>
      </w:pPr>
    </w:p>
    <w:tbl>
      <w:tblPr>
        <w:tblStyle w:val="aa"/>
        <w:tblW w:w="0" w:type="auto"/>
        <w:jc w:val="center"/>
        <w:tblLook w:val="04A0" w:firstRow="1" w:lastRow="0" w:firstColumn="1" w:lastColumn="0" w:noHBand="0" w:noVBand="1"/>
      </w:tblPr>
      <w:tblGrid>
        <w:gridCol w:w="1525"/>
        <w:gridCol w:w="1483"/>
        <w:gridCol w:w="2567"/>
        <w:gridCol w:w="2070"/>
        <w:gridCol w:w="1663"/>
      </w:tblGrid>
      <w:tr w:rsidR="004F5DAA" w:rsidRPr="003427A6" w14:paraId="5738E3A2" w14:textId="77777777" w:rsidTr="009F529E">
        <w:trPr>
          <w:jc w:val="center"/>
        </w:trPr>
        <w:tc>
          <w:tcPr>
            <w:tcW w:w="1525" w:type="dxa"/>
          </w:tcPr>
          <w:p w14:paraId="42FD874C" w14:textId="15A27FDD" w:rsidR="004F5DAA" w:rsidRPr="003427A6" w:rsidRDefault="004F5DAA" w:rsidP="004E55EE">
            <w:pPr>
              <w:spacing w:line="360" w:lineRule="auto"/>
              <w:jc w:val="center"/>
              <w:rPr>
                <w:rFonts w:ascii="Candara" w:hAnsi="Candara" w:cs="Arial"/>
                <w:b/>
                <w:sz w:val="22"/>
              </w:rPr>
            </w:pPr>
            <w:r w:rsidRPr="003427A6">
              <w:rPr>
                <w:rFonts w:ascii="Candara" w:hAnsi="Candara" w:cs="Arial"/>
                <w:b/>
                <w:sz w:val="22"/>
              </w:rPr>
              <w:t>NHE Subtype</w:t>
            </w:r>
          </w:p>
        </w:tc>
        <w:tc>
          <w:tcPr>
            <w:tcW w:w="1483" w:type="dxa"/>
          </w:tcPr>
          <w:p w14:paraId="133C5856" w14:textId="6B017C3C" w:rsidR="004F5DAA" w:rsidRPr="003427A6" w:rsidRDefault="004F5DAA" w:rsidP="004E55EE">
            <w:pPr>
              <w:spacing w:line="360" w:lineRule="auto"/>
              <w:jc w:val="center"/>
              <w:rPr>
                <w:rFonts w:ascii="Candara" w:hAnsi="Candara" w:cs="Arial"/>
                <w:b/>
                <w:sz w:val="22"/>
              </w:rPr>
            </w:pPr>
            <w:r w:rsidRPr="003427A6">
              <w:rPr>
                <w:rFonts w:ascii="Candara" w:hAnsi="Candara" w:cs="Arial"/>
                <w:b/>
                <w:sz w:val="22"/>
              </w:rPr>
              <w:t>Chromosome</w:t>
            </w:r>
          </w:p>
        </w:tc>
        <w:tc>
          <w:tcPr>
            <w:tcW w:w="2567" w:type="dxa"/>
          </w:tcPr>
          <w:p w14:paraId="0D159A09" w14:textId="1DE50E8F" w:rsidR="004F5DAA" w:rsidRPr="003427A6" w:rsidRDefault="004F5DAA" w:rsidP="004E55EE">
            <w:pPr>
              <w:spacing w:line="360" w:lineRule="auto"/>
              <w:jc w:val="center"/>
              <w:rPr>
                <w:rFonts w:ascii="Candara" w:hAnsi="Candara" w:cs="Arial"/>
                <w:b/>
                <w:sz w:val="22"/>
              </w:rPr>
            </w:pPr>
            <w:r w:rsidRPr="003427A6">
              <w:rPr>
                <w:rFonts w:ascii="Candara" w:hAnsi="Candara" w:cs="Arial"/>
                <w:b/>
                <w:sz w:val="22"/>
              </w:rPr>
              <w:t>Tissue/Cell Type</w:t>
            </w:r>
          </w:p>
        </w:tc>
        <w:tc>
          <w:tcPr>
            <w:tcW w:w="2070" w:type="dxa"/>
          </w:tcPr>
          <w:p w14:paraId="24EFE8D6" w14:textId="741A6641" w:rsidR="004F5DAA" w:rsidRPr="003427A6" w:rsidRDefault="004F5DAA" w:rsidP="004E55EE">
            <w:pPr>
              <w:spacing w:line="360" w:lineRule="auto"/>
              <w:jc w:val="center"/>
              <w:rPr>
                <w:rFonts w:ascii="Candara" w:hAnsi="Candara" w:cs="Arial"/>
                <w:b/>
                <w:sz w:val="22"/>
              </w:rPr>
            </w:pPr>
            <w:r w:rsidRPr="003427A6">
              <w:rPr>
                <w:rFonts w:ascii="Candara" w:hAnsi="Candara" w:cs="Arial"/>
                <w:b/>
                <w:sz w:val="22"/>
              </w:rPr>
              <w:t>Comments</w:t>
            </w:r>
          </w:p>
        </w:tc>
        <w:tc>
          <w:tcPr>
            <w:tcW w:w="1663" w:type="dxa"/>
          </w:tcPr>
          <w:p w14:paraId="22C413D0" w14:textId="7DECBBF3" w:rsidR="004F5DAA" w:rsidRPr="003427A6" w:rsidRDefault="004F5DAA" w:rsidP="004F5DAA">
            <w:pPr>
              <w:spacing w:line="360" w:lineRule="auto"/>
              <w:jc w:val="center"/>
              <w:rPr>
                <w:rFonts w:ascii="Candara" w:hAnsi="Candara" w:cs="Arial"/>
                <w:b/>
                <w:sz w:val="22"/>
              </w:rPr>
            </w:pPr>
            <w:r w:rsidRPr="003427A6">
              <w:rPr>
                <w:rFonts w:ascii="Candara" w:hAnsi="Candara" w:cs="Arial"/>
                <w:b/>
                <w:sz w:val="22"/>
              </w:rPr>
              <w:t>Inhibitor</w:t>
            </w:r>
          </w:p>
        </w:tc>
      </w:tr>
      <w:tr w:rsidR="004F5DAA" w:rsidRPr="003427A6" w14:paraId="76E552D9" w14:textId="77777777" w:rsidTr="009F529E">
        <w:trPr>
          <w:jc w:val="center"/>
        </w:trPr>
        <w:tc>
          <w:tcPr>
            <w:tcW w:w="1525" w:type="dxa"/>
          </w:tcPr>
          <w:p w14:paraId="3C81AC39" w14:textId="7390AA38" w:rsidR="004F5DAA" w:rsidRPr="003427A6" w:rsidRDefault="004F5DAA" w:rsidP="004E55EE">
            <w:pPr>
              <w:spacing w:line="360" w:lineRule="auto"/>
              <w:jc w:val="center"/>
              <w:rPr>
                <w:rFonts w:ascii="Candara" w:hAnsi="Candara" w:cs="Arial"/>
                <w:sz w:val="22"/>
              </w:rPr>
            </w:pPr>
            <w:r w:rsidRPr="003427A6">
              <w:rPr>
                <w:rFonts w:ascii="Candara" w:hAnsi="Candara" w:cs="Arial"/>
                <w:sz w:val="22"/>
              </w:rPr>
              <w:t>NHE1</w:t>
            </w:r>
            <w:r w:rsidRPr="003427A6">
              <w:rPr>
                <w:rStyle w:val="af8"/>
                <w:rFonts w:ascii="Candara" w:hAnsi="Candara" w:cs="Arial"/>
                <w:sz w:val="22"/>
              </w:rPr>
              <w:endnoteReference w:id="112"/>
            </w:r>
          </w:p>
        </w:tc>
        <w:tc>
          <w:tcPr>
            <w:tcW w:w="1483" w:type="dxa"/>
          </w:tcPr>
          <w:p w14:paraId="55B8CF89" w14:textId="653DB871" w:rsidR="004F5DAA" w:rsidRPr="003427A6" w:rsidRDefault="004F5DAA" w:rsidP="004E55EE">
            <w:pPr>
              <w:spacing w:line="360" w:lineRule="auto"/>
              <w:jc w:val="center"/>
              <w:rPr>
                <w:rFonts w:ascii="Candara" w:hAnsi="Candara" w:cs="Arial"/>
                <w:sz w:val="22"/>
              </w:rPr>
            </w:pPr>
            <w:r w:rsidRPr="003427A6">
              <w:rPr>
                <w:rFonts w:ascii="Candara" w:hAnsi="Candara" w:cs="Arial"/>
                <w:sz w:val="22"/>
              </w:rPr>
              <w:t>1</w:t>
            </w:r>
          </w:p>
        </w:tc>
        <w:tc>
          <w:tcPr>
            <w:tcW w:w="2567" w:type="dxa"/>
          </w:tcPr>
          <w:p w14:paraId="2DFEA9E4" w14:textId="401B7960" w:rsidR="004F5DAA" w:rsidRPr="003427A6" w:rsidRDefault="004F5DAA" w:rsidP="00B539C5">
            <w:pPr>
              <w:spacing w:line="360" w:lineRule="auto"/>
              <w:jc w:val="center"/>
              <w:rPr>
                <w:rFonts w:ascii="Candara" w:hAnsi="Candara" w:cs="Arial"/>
                <w:sz w:val="22"/>
              </w:rPr>
            </w:pPr>
            <w:r w:rsidRPr="003427A6">
              <w:rPr>
                <w:rFonts w:ascii="Candara" w:hAnsi="Candara" w:cs="Arial"/>
                <w:sz w:val="22"/>
              </w:rPr>
              <w:t>Cardiomyocyte</w:t>
            </w:r>
            <w:r w:rsidR="00B539C5" w:rsidRPr="003427A6">
              <w:rPr>
                <w:rFonts w:ascii="Candara" w:hAnsi="Candara" w:cs="Arial"/>
                <w:sz w:val="22"/>
              </w:rPr>
              <w:t>, f</w:t>
            </w:r>
            <w:r w:rsidRPr="003427A6">
              <w:rPr>
                <w:rFonts w:ascii="Candara" w:hAnsi="Candara" w:cs="Arial"/>
                <w:sz w:val="22"/>
              </w:rPr>
              <w:t>ibroblast</w:t>
            </w:r>
            <w:r w:rsidR="00B539C5" w:rsidRPr="003427A6">
              <w:rPr>
                <w:rFonts w:ascii="Candara" w:hAnsi="Candara" w:cs="Arial"/>
                <w:sz w:val="22"/>
              </w:rPr>
              <w:t>,</w:t>
            </w:r>
            <w:r w:rsidR="00B25352" w:rsidRPr="003427A6">
              <w:rPr>
                <w:rFonts w:ascii="Candara" w:hAnsi="Candara" w:cs="Arial"/>
                <w:sz w:val="22"/>
              </w:rPr>
              <w:t xml:space="preserve"> erythro</w:t>
            </w:r>
            <w:r w:rsidRPr="003427A6">
              <w:rPr>
                <w:rFonts w:ascii="Candara" w:hAnsi="Candara" w:cs="Arial"/>
                <w:sz w:val="22"/>
              </w:rPr>
              <w:t>blast</w:t>
            </w:r>
            <w:r w:rsidR="00C02AE4" w:rsidRPr="003427A6">
              <w:rPr>
                <w:rFonts w:ascii="Candara" w:hAnsi="Candara" w:cs="Arial"/>
                <w:sz w:val="22"/>
              </w:rPr>
              <w:t>, vascular endothelium</w:t>
            </w:r>
          </w:p>
        </w:tc>
        <w:tc>
          <w:tcPr>
            <w:tcW w:w="2070" w:type="dxa"/>
          </w:tcPr>
          <w:p w14:paraId="28EFE04F" w14:textId="56958E30" w:rsidR="004F5DAA" w:rsidRPr="003427A6" w:rsidRDefault="004F5DAA" w:rsidP="004E55EE">
            <w:pPr>
              <w:spacing w:line="360" w:lineRule="auto"/>
              <w:jc w:val="center"/>
              <w:rPr>
                <w:rFonts w:ascii="Candara" w:hAnsi="Candara" w:cs="Arial"/>
                <w:sz w:val="22"/>
              </w:rPr>
            </w:pPr>
            <w:r w:rsidRPr="003427A6">
              <w:rPr>
                <w:rFonts w:ascii="Candara" w:hAnsi="Candara" w:cs="Arial"/>
                <w:sz w:val="22"/>
              </w:rPr>
              <w:t xml:space="preserve">Upregulated in </w:t>
            </w:r>
            <w:r w:rsidR="00B25352" w:rsidRPr="003427A6">
              <w:rPr>
                <w:rFonts w:ascii="Candara" w:hAnsi="Candara" w:cs="Arial"/>
                <w:sz w:val="22"/>
              </w:rPr>
              <w:t>ischemic heart disease</w:t>
            </w:r>
            <w:r w:rsidRPr="003427A6">
              <w:rPr>
                <w:rFonts w:ascii="Candara" w:hAnsi="Candara" w:cs="Arial"/>
                <w:sz w:val="22"/>
              </w:rPr>
              <w:t>,</w:t>
            </w:r>
            <w:r w:rsidR="00B25352" w:rsidRPr="003427A6">
              <w:rPr>
                <w:rFonts w:ascii="Candara" w:hAnsi="Candara" w:cs="Arial"/>
                <w:sz w:val="22"/>
              </w:rPr>
              <w:t xml:space="preserve"> heart failure,</w:t>
            </w:r>
            <w:r w:rsidRPr="003427A6">
              <w:rPr>
                <w:rFonts w:ascii="Candara" w:hAnsi="Candara" w:cs="Arial"/>
                <w:sz w:val="22"/>
              </w:rPr>
              <w:t xml:space="preserve"> mediates </w:t>
            </w:r>
            <w:r w:rsidR="00B25352" w:rsidRPr="003427A6">
              <w:rPr>
                <w:rFonts w:ascii="Candara" w:hAnsi="Candara" w:cs="Arial"/>
                <w:sz w:val="22"/>
              </w:rPr>
              <w:t>hypertrophy</w:t>
            </w:r>
          </w:p>
        </w:tc>
        <w:tc>
          <w:tcPr>
            <w:tcW w:w="1663" w:type="dxa"/>
          </w:tcPr>
          <w:p w14:paraId="10BB5DD2" w14:textId="77777777" w:rsidR="004F5DAA" w:rsidRPr="003427A6" w:rsidRDefault="004F5DAA" w:rsidP="004F5DAA">
            <w:pPr>
              <w:spacing w:line="360" w:lineRule="auto"/>
              <w:jc w:val="center"/>
              <w:rPr>
                <w:rFonts w:ascii="Candara" w:hAnsi="Candara" w:cs="Arial"/>
                <w:sz w:val="22"/>
              </w:rPr>
            </w:pPr>
            <w:r w:rsidRPr="003427A6">
              <w:rPr>
                <w:rFonts w:ascii="Candara" w:hAnsi="Candara" w:cs="Arial"/>
                <w:sz w:val="22"/>
              </w:rPr>
              <w:t>SGLT2i</w:t>
            </w:r>
          </w:p>
          <w:p w14:paraId="3AC011AE" w14:textId="77777777" w:rsidR="004F5DAA" w:rsidRPr="003427A6" w:rsidRDefault="004F5DAA" w:rsidP="004F5DAA">
            <w:pPr>
              <w:spacing w:line="360" w:lineRule="auto"/>
              <w:jc w:val="center"/>
              <w:rPr>
                <w:rFonts w:ascii="Candara" w:hAnsi="Candara" w:cs="Arial"/>
                <w:sz w:val="22"/>
              </w:rPr>
            </w:pPr>
            <w:r w:rsidRPr="003427A6">
              <w:rPr>
                <w:rFonts w:ascii="Candara" w:hAnsi="Candara" w:cs="Arial"/>
                <w:sz w:val="22"/>
              </w:rPr>
              <w:t>Cariporide</w:t>
            </w:r>
          </w:p>
          <w:p w14:paraId="2D8E8BF7" w14:textId="77777777" w:rsidR="004F5DAA" w:rsidRPr="003427A6" w:rsidRDefault="004F5DAA" w:rsidP="004F5DAA">
            <w:pPr>
              <w:spacing w:line="360" w:lineRule="auto"/>
              <w:jc w:val="center"/>
              <w:rPr>
                <w:rFonts w:ascii="Candara" w:hAnsi="Candara" w:cs="Arial"/>
                <w:sz w:val="22"/>
              </w:rPr>
            </w:pPr>
            <w:r w:rsidRPr="003427A6">
              <w:rPr>
                <w:rFonts w:ascii="Candara" w:hAnsi="Candara" w:cs="Arial"/>
                <w:sz w:val="22"/>
              </w:rPr>
              <w:t>Zoniporide</w:t>
            </w:r>
          </w:p>
          <w:p w14:paraId="4718D7ED" w14:textId="77777777" w:rsidR="004F5DAA" w:rsidRPr="003427A6" w:rsidRDefault="004F5DAA" w:rsidP="004F5DAA">
            <w:pPr>
              <w:spacing w:line="360" w:lineRule="auto"/>
              <w:jc w:val="center"/>
              <w:rPr>
                <w:rFonts w:ascii="Candara" w:hAnsi="Candara" w:cs="Arial"/>
                <w:sz w:val="22"/>
              </w:rPr>
            </w:pPr>
            <w:r w:rsidRPr="003427A6">
              <w:rPr>
                <w:rFonts w:ascii="Candara" w:hAnsi="Candara" w:cs="Arial"/>
                <w:sz w:val="22"/>
              </w:rPr>
              <w:t>Remiporide</w:t>
            </w:r>
          </w:p>
          <w:p w14:paraId="157CFC3C" w14:textId="78883AAD" w:rsidR="004F5DAA" w:rsidRPr="003427A6" w:rsidRDefault="004F5DAA" w:rsidP="004F5DAA">
            <w:pPr>
              <w:spacing w:line="360" w:lineRule="auto"/>
              <w:jc w:val="center"/>
              <w:rPr>
                <w:rFonts w:ascii="Candara" w:hAnsi="Candara" w:cs="Arial"/>
                <w:sz w:val="22"/>
              </w:rPr>
            </w:pPr>
            <w:r w:rsidRPr="003427A6">
              <w:rPr>
                <w:rFonts w:ascii="Candara" w:hAnsi="Candara" w:cs="Arial"/>
                <w:sz w:val="22"/>
              </w:rPr>
              <w:t>Amiloride</w:t>
            </w:r>
          </w:p>
        </w:tc>
      </w:tr>
      <w:tr w:rsidR="004F5DAA" w:rsidRPr="003427A6" w14:paraId="3415DDD1" w14:textId="77777777" w:rsidTr="009F529E">
        <w:trPr>
          <w:jc w:val="center"/>
        </w:trPr>
        <w:tc>
          <w:tcPr>
            <w:tcW w:w="1525" w:type="dxa"/>
          </w:tcPr>
          <w:p w14:paraId="56A852DB" w14:textId="01C39D6E" w:rsidR="004F5DAA" w:rsidRPr="003427A6" w:rsidRDefault="004F5DAA" w:rsidP="004E55EE">
            <w:pPr>
              <w:spacing w:line="360" w:lineRule="auto"/>
              <w:jc w:val="center"/>
              <w:rPr>
                <w:rFonts w:ascii="Candara" w:hAnsi="Candara" w:cs="Arial"/>
                <w:sz w:val="22"/>
              </w:rPr>
            </w:pPr>
            <w:r w:rsidRPr="003427A6">
              <w:rPr>
                <w:rFonts w:ascii="Candara" w:hAnsi="Candara" w:cs="Arial"/>
                <w:sz w:val="22"/>
              </w:rPr>
              <w:t>NHE2</w:t>
            </w:r>
            <w:r w:rsidRPr="003427A6">
              <w:rPr>
                <w:rStyle w:val="af8"/>
                <w:rFonts w:ascii="Candara" w:hAnsi="Candara" w:cs="Arial"/>
                <w:sz w:val="22"/>
              </w:rPr>
              <w:endnoteReference w:id="113"/>
            </w:r>
          </w:p>
        </w:tc>
        <w:tc>
          <w:tcPr>
            <w:tcW w:w="1483" w:type="dxa"/>
          </w:tcPr>
          <w:p w14:paraId="127F7780" w14:textId="0BD9A983" w:rsidR="004F5DAA" w:rsidRPr="003427A6" w:rsidRDefault="004F5DAA" w:rsidP="004E55EE">
            <w:pPr>
              <w:spacing w:line="360" w:lineRule="auto"/>
              <w:jc w:val="center"/>
              <w:rPr>
                <w:rFonts w:ascii="Candara" w:hAnsi="Candara" w:cs="Arial"/>
                <w:sz w:val="22"/>
              </w:rPr>
            </w:pPr>
            <w:r w:rsidRPr="003427A6">
              <w:rPr>
                <w:rFonts w:ascii="Candara" w:hAnsi="Candara" w:cs="Arial"/>
                <w:sz w:val="22"/>
              </w:rPr>
              <w:t>2</w:t>
            </w:r>
          </w:p>
        </w:tc>
        <w:tc>
          <w:tcPr>
            <w:tcW w:w="2567" w:type="dxa"/>
          </w:tcPr>
          <w:p w14:paraId="3F18181B" w14:textId="3E90BF42" w:rsidR="004F5DAA" w:rsidRPr="003427A6" w:rsidRDefault="004F5DAA" w:rsidP="004E55EE">
            <w:pPr>
              <w:spacing w:line="360" w:lineRule="auto"/>
              <w:jc w:val="center"/>
              <w:rPr>
                <w:rFonts w:ascii="Candara" w:hAnsi="Candara" w:cs="Arial"/>
                <w:sz w:val="22"/>
              </w:rPr>
            </w:pPr>
            <w:r w:rsidRPr="003427A6">
              <w:rPr>
                <w:rFonts w:ascii="Candara" w:hAnsi="Candara" w:cs="Arial"/>
                <w:sz w:val="22"/>
              </w:rPr>
              <w:t>Renal collecting duct</w:t>
            </w:r>
          </w:p>
        </w:tc>
        <w:tc>
          <w:tcPr>
            <w:tcW w:w="2070" w:type="dxa"/>
          </w:tcPr>
          <w:p w14:paraId="2DCCFC45" w14:textId="15C2F729" w:rsidR="004F5DAA" w:rsidRPr="003427A6" w:rsidRDefault="004F5DAA" w:rsidP="004E55EE">
            <w:pPr>
              <w:spacing w:line="360" w:lineRule="auto"/>
              <w:jc w:val="center"/>
              <w:rPr>
                <w:rFonts w:ascii="Candara" w:hAnsi="Candara" w:cs="Arial"/>
                <w:sz w:val="22"/>
              </w:rPr>
            </w:pPr>
            <w:r w:rsidRPr="003427A6">
              <w:rPr>
                <w:rFonts w:ascii="Candara" w:hAnsi="Candara" w:cs="Arial"/>
                <w:sz w:val="22"/>
              </w:rPr>
              <w:t>Co-dependent on aquaporin channels</w:t>
            </w:r>
          </w:p>
        </w:tc>
        <w:tc>
          <w:tcPr>
            <w:tcW w:w="1663" w:type="dxa"/>
          </w:tcPr>
          <w:p w14:paraId="2BF6BF4E" w14:textId="3CFECFDB" w:rsidR="004F5DAA" w:rsidRPr="003427A6" w:rsidRDefault="009F529E" w:rsidP="004F5DAA">
            <w:pPr>
              <w:spacing w:line="360" w:lineRule="auto"/>
              <w:jc w:val="center"/>
              <w:rPr>
                <w:rFonts w:ascii="Candara" w:hAnsi="Candara" w:cs="Arial"/>
                <w:sz w:val="22"/>
              </w:rPr>
            </w:pPr>
            <w:r w:rsidRPr="003427A6">
              <w:rPr>
                <w:rFonts w:ascii="Candara" w:hAnsi="Candara" w:cs="Arial"/>
                <w:sz w:val="22"/>
              </w:rPr>
              <w:t>Amiloride</w:t>
            </w:r>
          </w:p>
        </w:tc>
      </w:tr>
      <w:tr w:rsidR="004F5DAA" w:rsidRPr="003427A6" w14:paraId="0572C5F5" w14:textId="77777777" w:rsidTr="009F529E">
        <w:trPr>
          <w:jc w:val="center"/>
        </w:trPr>
        <w:tc>
          <w:tcPr>
            <w:tcW w:w="1525" w:type="dxa"/>
          </w:tcPr>
          <w:p w14:paraId="45EB6388" w14:textId="4285DEE0" w:rsidR="004F5DAA" w:rsidRPr="003427A6" w:rsidRDefault="004F5DAA" w:rsidP="004E55EE">
            <w:pPr>
              <w:spacing w:line="360" w:lineRule="auto"/>
              <w:jc w:val="center"/>
              <w:rPr>
                <w:rFonts w:ascii="Candara" w:hAnsi="Candara" w:cs="Arial"/>
                <w:sz w:val="22"/>
              </w:rPr>
            </w:pPr>
            <w:r w:rsidRPr="003427A6">
              <w:rPr>
                <w:rFonts w:ascii="Candara" w:hAnsi="Candara" w:cs="Arial"/>
                <w:sz w:val="22"/>
              </w:rPr>
              <w:t>NHE3</w:t>
            </w:r>
            <w:r w:rsidRPr="003427A6">
              <w:rPr>
                <w:rFonts w:ascii="Candara" w:hAnsi="Candara" w:cs="Arial"/>
                <w:sz w:val="22"/>
              </w:rPr>
              <w:fldChar w:fldCharType="begin"/>
            </w:r>
            <w:r w:rsidRPr="003427A6">
              <w:rPr>
                <w:rFonts w:ascii="Candara" w:hAnsi="Candara" w:cs="Arial"/>
                <w:sz w:val="22"/>
              </w:rPr>
              <w:instrText xml:space="preserve"> NOTEREF _Ref530982052 \f \h  \* MERGEFORMAT </w:instrText>
            </w:r>
            <w:r w:rsidRPr="003427A6">
              <w:rPr>
                <w:rFonts w:ascii="Candara" w:hAnsi="Candara" w:cs="Arial"/>
                <w:sz w:val="22"/>
              </w:rPr>
            </w:r>
            <w:r w:rsidRPr="003427A6">
              <w:rPr>
                <w:rFonts w:ascii="Candara" w:hAnsi="Candara" w:cs="Arial"/>
                <w:sz w:val="22"/>
              </w:rPr>
              <w:fldChar w:fldCharType="separate"/>
            </w:r>
            <w:r w:rsidRPr="003427A6">
              <w:rPr>
                <w:rStyle w:val="af8"/>
              </w:rPr>
              <w:t>50</w:t>
            </w:r>
            <w:r w:rsidRPr="003427A6">
              <w:rPr>
                <w:rFonts w:ascii="Candara" w:hAnsi="Candara" w:cs="Arial"/>
                <w:sz w:val="22"/>
              </w:rPr>
              <w:fldChar w:fldCharType="end"/>
            </w:r>
          </w:p>
        </w:tc>
        <w:tc>
          <w:tcPr>
            <w:tcW w:w="1483" w:type="dxa"/>
          </w:tcPr>
          <w:p w14:paraId="7256329E" w14:textId="3848ADA1" w:rsidR="004F5DAA" w:rsidRPr="003427A6" w:rsidRDefault="004F5DAA" w:rsidP="004E55EE">
            <w:pPr>
              <w:spacing w:line="360" w:lineRule="auto"/>
              <w:jc w:val="center"/>
              <w:rPr>
                <w:rFonts w:ascii="Candara" w:hAnsi="Candara" w:cs="Arial"/>
                <w:sz w:val="22"/>
              </w:rPr>
            </w:pPr>
            <w:r w:rsidRPr="003427A6">
              <w:rPr>
                <w:rFonts w:ascii="Candara" w:hAnsi="Candara" w:cs="Arial"/>
                <w:sz w:val="22"/>
              </w:rPr>
              <w:t>5</w:t>
            </w:r>
          </w:p>
        </w:tc>
        <w:tc>
          <w:tcPr>
            <w:tcW w:w="2567" w:type="dxa"/>
          </w:tcPr>
          <w:p w14:paraId="5E53875F" w14:textId="3D56F252" w:rsidR="004F5DAA" w:rsidRPr="003427A6" w:rsidRDefault="004F5DAA" w:rsidP="004E55EE">
            <w:pPr>
              <w:spacing w:line="360" w:lineRule="auto"/>
              <w:jc w:val="center"/>
              <w:rPr>
                <w:rFonts w:ascii="Candara" w:hAnsi="Candara" w:cs="Arial"/>
                <w:sz w:val="22"/>
              </w:rPr>
            </w:pPr>
            <w:r w:rsidRPr="003427A6">
              <w:rPr>
                <w:rFonts w:ascii="Candara" w:hAnsi="Candara" w:cs="Arial"/>
                <w:sz w:val="22"/>
              </w:rPr>
              <w:t>Renal tubular epithelium</w:t>
            </w:r>
          </w:p>
          <w:p w14:paraId="6FE0CBE9" w14:textId="297528E3" w:rsidR="004F5DAA" w:rsidRPr="003427A6" w:rsidRDefault="004F5DAA" w:rsidP="004E55EE">
            <w:pPr>
              <w:spacing w:line="360" w:lineRule="auto"/>
              <w:jc w:val="center"/>
              <w:rPr>
                <w:rFonts w:ascii="Candara" w:hAnsi="Candara" w:cs="Arial"/>
                <w:sz w:val="22"/>
              </w:rPr>
            </w:pPr>
            <w:r w:rsidRPr="003427A6">
              <w:rPr>
                <w:rFonts w:ascii="Candara" w:hAnsi="Candara" w:cs="Arial"/>
                <w:sz w:val="22"/>
              </w:rPr>
              <w:t>Intestinal epithelium</w:t>
            </w:r>
          </w:p>
        </w:tc>
        <w:tc>
          <w:tcPr>
            <w:tcW w:w="2070" w:type="dxa"/>
          </w:tcPr>
          <w:p w14:paraId="578ADFCA" w14:textId="1D1CF04D" w:rsidR="004F5DAA" w:rsidRPr="003427A6" w:rsidRDefault="003115DA" w:rsidP="003115DA">
            <w:pPr>
              <w:spacing w:line="360" w:lineRule="auto"/>
              <w:jc w:val="center"/>
              <w:rPr>
                <w:rFonts w:ascii="Candara" w:hAnsi="Candara" w:cs="Arial"/>
                <w:sz w:val="22"/>
              </w:rPr>
            </w:pPr>
            <w:r w:rsidRPr="003427A6">
              <w:rPr>
                <w:rFonts w:ascii="Candara" w:hAnsi="Candara" w:cs="Arial"/>
                <w:sz w:val="22"/>
              </w:rPr>
              <w:t>Co-dependent on angiotensin II</w:t>
            </w:r>
          </w:p>
        </w:tc>
        <w:tc>
          <w:tcPr>
            <w:tcW w:w="1663" w:type="dxa"/>
          </w:tcPr>
          <w:p w14:paraId="60E9A05D" w14:textId="5C287C86" w:rsidR="004F5DAA" w:rsidRPr="003427A6" w:rsidRDefault="004F5DAA" w:rsidP="004F5DAA">
            <w:pPr>
              <w:spacing w:line="360" w:lineRule="auto"/>
              <w:jc w:val="center"/>
              <w:rPr>
                <w:rFonts w:ascii="Candara" w:hAnsi="Candara" w:cs="Arial"/>
                <w:sz w:val="22"/>
              </w:rPr>
            </w:pPr>
            <w:r w:rsidRPr="003427A6">
              <w:rPr>
                <w:rFonts w:ascii="Candara" w:hAnsi="Candara" w:cs="Arial"/>
                <w:sz w:val="22"/>
              </w:rPr>
              <w:t>SGLT2i</w:t>
            </w:r>
            <w:r w:rsidR="00577C70" w:rsidRPr="003427A6">
              <w:rPr>
                <w:rFonts w:ascii="Candara" w:hAnsi="Candara" w:cs="Arial"/>
                <w:sz w:val="22"/>
              </w:rPr>
              <w:t>?</w:t>
            </w:r>
          </w:p>
          <w:p w14:paraId="05B82BBE" w14:textId="2BFD8498" w:rsidR="009F529E" w:rsidRPr="003427A6" w:rsidRDefault="009F529E" w:rsidP="004F5DAA">
            <w:pPr>
              <w:spacing w:line="360" w:lineRule="auto"/>
              <w:jc w:val="center"/>
              <w:rPr>
                <w:rFonts w:ascii="Candara" w:hAnsi="Candara" w:cs="Arial"/>
                <w:sz w:val="22"/>
              </w:rPr>
            </w:pPr>
            <w:r w:rsidRPr="003427A6">
              <w:rPr>
                <w:rFonts w:ascii="Candara" w:hAnsi="Candara" w:cs="Arial"/>
                <w:sz w:val="22"/>
              </w:rPr>
              <w:t>Tenapanor</w:t>
            </w:r>
          </w:p>
        </w:tc>
      </w:tr>
      <w:tr w:rsidR="004F5DAA" w:rsidRPr="003427A6" w14:paraId="469F6299" w14:textId="77777777" w:rsidTr="009F529E">
        <w:trPr>
          <w:jc w:val="center"/>
        </w:trPr>
        <w:tc>
          <w:tcPr>
            <w:tcW w:w="1525" w:type="dxa"/>
          </w:tcPr>
          <w:p w14:paraId="1F2108BF" w14:textId="35B31BA0" w:rsidR="004F5DAA" w:rsidRPr="003427A6" w:rsidRDefault="004F5DAA" w:rsidP="004E55EE">
            <w:pPr>
              <w:spacing w:line="360" w:lineRule="auto"/>
              <w:jc w:val="center"/>
              <w:rPr>
                <w:rFonts w:ascii="Candara" w:hAnsi="Candara" w:cs="Arial"/>
                <w:sz w:val="22"/>
              </w:rPr>
            </w:pPr>
            <w:r w:rsidRPr="003427A6">
              <w:rPr>
                <w:rFonts w:ascii="Candara" w:hAnsi="Candara" w:cs="Arial"/>
                <w:sz w:val="22"/>
              </w:rPr>
              <w:t>NHE4</w:t>
            </w:r>
            <w:r w:rsidRPr="003427A6">
              <w:rPr>
                <w:rStyle w:val="af8"/>
                <w:rFonts w:ascii="Candara" w:hAnsi="Candara" w:cs="Arial"/>
                <w:sz w:val="22"/>
              </w:rPr>
              <w:endnoteReference w:id="114"/>
            </w:r>
          </w:p>
        </w:tc>
        <w:tc>
          <w:tcPr>
            <w:tcW w:w="1483" w:type="dxa"/>
          </w:tcPr>
          <w:p w14:paraId="51593877" w14:textId="3533C800" w:rsidR="004F5DAA" w:rsidRPr="003427A6" w:rsidRDefault="00445522" w:rsidP="004E55EE">
            <w:pPr>
              <w:spacing w:line="360" w:lineRule="auto"/>
              <w:jc w:val="center"/>
              <w:rPr>
                <w:rFonts w:ascii="Candara" w:hAnsi="Candara" w:cs="Arial"/>
                <w:sz w:val="22"/>
              </w:rPr>
            </w:pPr>
            <w:r w:rsidRPr="003427A6">
              <w:rPr>
                <w:rFonts w:ascii="Candara" w:hAnsi="Candara" w:cs="Arial"/>
                <w:sz w:val="22"/>
              </w:rPr>
              <w:t>2</w:t>
            </w:r>
          </w:p>
        </w:tc>
        <w:tc>
          <w:tcPr>
            <w:tcW w:w="2567" w:type="dxa"/>
          </w:tcPr>
          <w:p w14:paraId="66D80618" w14:textId="4D6FADA0" w:rsidR="004F5DAA" w:rsidRPr="003427A6" w:rsidRDefault="004F5DAA" w:rsidP="004E55EE">
            <w:pPr>
              <w:spacing w:line="360" w:lineRule="auto"/>
              <w:jc w:val="center"/>
              <w:rPr>
                <w:rFonts w:ascii="Candara" w:hAnsi="Candara" w:cs="Arial"/>
                <w:sz w:val="22"/>
              </w:rPr>
            </w:pPr>
            <w:r w:rsidRPr="003427A6">
              <w:rPr>
                <w:rFonts w:ascii="Candara" w:hAnsi="Candara" w:cs="Arial"/>
                <w:sz w:val="22"/>
              </w:rPr>
              <w:t>Renal thick ascending limb of Henle</w:t>
            </w:r>
            <w:r w:rsidR="00445522" w:rsidRPr="003427A6">
              <w:rPr>
                <w:rFonts w:ascii="Candara" w:hAnsi="Candara" w:cs="Arial"/>
                <w:sz w:val="22"/>
              </w:rPr>
              <w:t xml:space="preserve">, </w:t>
            </w:r>
            <w:r w:rsidR="00B539C5" w:rsidRPr="003427A6">
              <w:rPr>
                <w:rFonts w:ascii="Candara" w:hAnsi="Candara" w:cs="Arial"/>
                <w:sz w:val="22"/>
              </w:rPr>
              <w:t>d</w:t>
            </w:r>
            <w:r w:rsidR="00445522" w:rsidRPr="003427A6">
              <w:rPr>
                <w:rFonts w:ascii="Candara" w:hAnsi="Candara" w:cs="Arial"/>
                <w:sz w:val="22"/>
              </w:rPr>
              <w:t xml:space="preserve">istal </w:t>
            </w:r>
            <w:r w:rsidR="00B539C5" w:rsidRPr="003427A6">
              <w:rPr>
                <w:rFonts w:ascii="Candara" w:hAnsi="Candara" w:cs="Arial"/>
                <w:sz w:val="22"/>
              </w:rPr>
              <w:t>t</w:t>
            </w:r>
            <w:r w:rsidR="00445522" w:rsidRPr="003427A6">
              <w:rPr>
                <w:rFonts w:ascii="Candara" w:hAnsi="Candara" w:cs="Arial"/>
                <w:sz w:val="22"/>
              </w:rPr>
              <w:t>ubule</w:t>
            </w:r>
          </w:p>
        </w:tc>
        <w:tc>
          <w:tcPr>
            <w:tcW w:w="2070" w:type="dxa"/>
          </w:tcPr>
          <w:p w14:paraId="1985036E" w14:textId="6CCEC176" w:rsidR="004F5DAA" w:rsidRPr="003427A6" w:rsidRDefault="002A66D5" w:rsidP="004E55EE">
            <w:pPr>
              <w:spacing w:line="360" w:lineRule="auto"/>
              <w:jc w:val="center"/>
              <w:rPr>
                <w:rFonts w:ascii="Candara" w:hAnsi="Candara" w:cs="Arial"/>
                <w:sz w:val="22"/>
              </w:rPr>
            </w:pPr>
            <w:r w:rsidRPr="003427A6">
              <w:rPr>
                <w:rFonts w:ascii="Candara" w:hAnsi="Candara" w:cs="Arial"/>
                <w:sz w:val="22"/>
              </w:rPr>
              <w:t>Ammonia efflux into urine</w:t>
            </w:r>
          </w:p>
        </w:tc>
        <w:tc>
          <w:tcPr>
            <w:tcW w:w="1663" w:type="dxa"/>
          </w:tcPr>
          <w:p w14:paraId="1EE15C51" w14:textId="77777777" w:rsidR="004F5DAA" w:rsidRPr="003427A6" w:rsidRDefault="004F5DAA" w:rsidP="004F5DAA">
            <w:pPr>
              <w:spacing w:line="360" w:lineRule="auto"/>
              <w:jc w:val="center"/>
              <w:rPr>
                <w:rFonts w:ascii="Candara" w:hAnsi="Candara" w:cs="Arial"/>
                <w:sz w:val="22"/>
              </w:rPr>
            </w:pPr>
          </w:p>
        </w:tc>
      </w:tr>
      <w:tr w:rsidR="004F5DAA" w:rsidRPr="003427A6" w14:paraId="63469BFA" w14:textId="77777777" w:rsidTr="009F529E">
        <w:trPr>
          <w:jc w:val="center"/>
        </w:trPr>
        <w:tc>
          <w:tcPr>
            <w:tcW w:w="1525" w:type="dxa"/>
          </w:tcPr>
          <w:p w14:paraId="6B9652E2" w14:textId="7F19C263" w:rsidR="004F5DAA" w:rsidRPr="003427A6" w:rsidRDefault="004F5DAA" w:rsidP="004E55EE">
            <w:pPr>
              <w:spacing w:line="360" w:lineRule="auto"/>
              <w:jc w:val="center"/>
              <w:rPr>
                <w:rFonts w:ascii="Candara" w:hAnsi="Candara" w:cs="Arial"/>
                <w:sz w:val="22"/>
              </w:rPr>
            </w:pPr>
            <w:r w:rsidRPr="003427A6">
              <w:rPr>
                <w:rFonts w:ascii="Candara" w:hAnsi="Candara" w:cs="Arial"/>
                <w:sz w:val="22"/>
              </w:rPr>
              <w:t>NHE5</w:t>
            </w:r>
            <w:r w:rsidRPr="003427A6">
              <w:rPr>
                <w:rStyle w:val="af8"/>
                <w:rFonts w:ascii="Candara" w:hAnsi="Candara" w:cs="Arial"/>
                <w:sz w:val="22"/>
              </w:rPr>
              <w:endnoteReference w:id="115"/>
            </w:r>
          </w:p>
        </w:tc>
        <w:tc>
          <w:tcPr>
            <w:tcW w:w="1483" w:type="dxa"/>
          </w:tcPr>
          <w:p w14:paraId="00F69700" w14:textId="101DE52D" w:rsidR="004F5DAA" w:rsidRPr="003427A6" w:rsidRDefault="004F5DAA" w:rsidP="004E55EE">
            <w:pPr>
              <w:spacing w:line="360" w:lineRule="auto"/>
              <w:jc w:val="center"/>
              <w:rPr>
                <w:rFonts w:ascii="Candara" w:hAnsi="Candara" w:cs="Arial"/>
                <w:sz w:val="22"/>
              </w:rPr>
            </w:pPr>
            <w:r w:rsidRPr="003427A6">
              <w:rPr>
                <w:rFonts w:ascii="Candara" w:hAnsi="Candara" w:cs="Arial"/>
                <w:sz w:val="22"/>
              </w:rPr>
              <w:t>16</w:t>
            </w:r>
          </w:p>
        </w:tc>
        <w:tc>
          <w:tcPr>
            <w:tcW w:w="2567" w:type="dxa"/>
          </w:tcPr>
          <w:p w14:paraId="0F0B87E3" w14:textId="341AB18A" w:rsidR="004F5DAA" w:rsidRPr="003427A6" w:rsidRDefault="004F5DAA" w:rsidP="004E55EE">
            <w:pPr>
              <w:spacing w:line="360" w:lineRule="auto"/>
              <w:jc w:val="center"/>
              <w:rPr>
                <w:rFonts w:ascii="Candara" w:hAnsi="Candara" w:cs="Arial"/>
                <w:sz w:val="22"/>
              </w:rPr>
            </w:pPr>
            <w:r w:rsidRPr="003427A6">
              <w:rPr>
                <w:rFonts w:ascii="Candara" w:hAnsi="Candara" w:cs="Arial"/>
                <w:sz w:val="22"/>
              </w:rPr>
              <w:t>Neurons</w:t>
            </w:r>
          </w:p>
        </w:tc>
        <w:tc>
          <w:tcPr>
            <w:tcW w:w="2070" w:type="dxa"/>
          </w:tcPr>
          <w:p w14:paraId="74E921C8" w14:textId="1FE0AA2C" w:rsidR="004F5DAA" w:rsidRPr="003427A6" w:rsidRDefault="002A66D5" w:rsidP="004E55EE">
            <w:pPr>
              <w:spacing w:line="360" w:lineRule="auto"/>
              <w:jc w:val="center"/>
              <w:rPr>
                <w:rFonts w:ascii="Candara" w:hAnsi="Candara" w:cs="Arial"/>
                <w:sz w:val="22"/>
              </w:rPr>
            </w:pPr>
            <w:r w:rsidRPr="003427A6">
              <w:rPr>
                <w:rFonts w:ascii="Candara" w:hAnsi="Candara" w:cs="Arial"/>
                <w:sz w:val="22"/>
              </w:rPr>
              <w:t>Regulates endosome pH</w:t>
            </w:r>
          </w:p>
        </w:tc>
        <w:tc>
          <w:tcPr>
            <w:tcW w:w="1663" w:type="dxa"/>
          </w:tcPr>
          <w:p w14:paraId="2EC1FE54" w14:textId="77777777" w:rsidR="004F5DAA" w:rsidRPr="003427A6" w:rsidRDefault="004F5DAA" w:rsidP="004F5DAA">
            <w:pPr>
              <w:spacing w:line="360" w:lineRule="auto"/>
              <w:jc w:val="center"/>
              <w:rPr>
                <w:rFonts w:ascii="Candara" w:hAnsi="Candara" w:cs="Arial"/>
                <w:sz w:val="22"/>
              </w:rPr>
            </w:pPr>
          </w:p>
        </w:tc>
      </w:tr>
      <w:tr w:rsidR="004F5DAA" w:rsidRPr="003427A6" w14:paraId="5BF572F0" w14:textId="77777777" w:rsidTr="009F529E">
        <w:trPr>
          <w:jc w:val="center"/>
        </w:trPr>
        <w:tc>
          <w:tcPr>
            <w:tcW w:w="1525" w:type="dxa"/>
          </w:tcPr>
          <w:p w14:paraId="26DAC041" w14:textId="3E4DFA37" w:rsidR="004F5DAA" w:rsidRPr="003427A6" w:rsidRDefault="004F5DAA" w:rsidP="004E55EE">
            <w:pPr>
              <w:spacing w:line="360" w:lineRule="auto"/>
              <w:jc w:val="center"/>
              <w:rPr>
                <w:rFonts w:ascii="Candara" w:hAnsi="Candara" w:cs="Arial"/>
                <w:sz w:val="22"/>
              </w:rPr>
            </w:pPr>
            <w:r w:rsidRPr="003427A6">
              <w:rPr>
                <w:rFonts w:ascii="Candara" w:hAnsi="Candara" w:cs="Arial"/>
                <w:sz w:val="22"/>
              </w:rPr>
              <w:t>NHE6</w:t>
            </w:r>
            <w:r w:rsidRPr="003427A6">
              <w:rPr>
                <w:rStyle w:val="af8"/>
                <w:rFonts w:ascii="Candara" w:hAnsi="Candara" w:cs="Arial"/>
                <w:sz w:val="22"/>
              </w:rPr>
              <w:endnoteReference w:id="116"/>
            </w:r>
          </w:p>
        </w:tc>
        <w:tc>
          <w:tcPr>
            <w:tcW w:w="1483" w:type="dxa"/>
          </w:tcPr>
          <w:p w14:paraId="310E4FD0" w14:textId="65ED9BEE" w:rsidR="004F5DAA" w:rsidRPr="003427A6" w:rsidRDefault="004F5DAA" w:rsidP="004E55EE">
            <w:pPr>
              <w:spacing w:line="360" w:lineRule="auto"/>
              <w:jc w:val="center"/>
              <w:rPr>
                <w:rFonts w:ascii="Candara" w:hAnsi="Candara" w:cs="Arial"/>
                <w:sz w:val="22"/>
              </w:rPr>
            </w:pPr>
            <w:r w:rsidRPr="003427A6">
              <w:rPr>
                <w:rFonts w:ascii="Candara" w:hAnsi="Candara" w:cs="Arial"/>
                <w:sz w:val="22"/>
              </w:rPr>
              <w:t>X</w:t>
            </w:r>
          </w:p>
        </w:tc>
        <w:tc>
          <w:tcPr>
            <w:tcW w:w="2567" w:type="dxa"/>
          </w:tcPr>
          <w:p w14:paraId="6CD8D8F6" w14:textId="08556ED4" w:rsidR="009F529E" w:rsidRPr="003427A6" w:rsidRDefault="009F529E" w:rsidP="004E55EE">
            <w:pPr>
              <w:spacing w:line="360" w:lineRule="auto"/>
              <w:jc w:val="center"/>
              <w:rPr>
                <w:rFonts w:ascii="Candara" w:hAnsi="Candara" w:cs="Arial"/>
                <w:sz w:val="22"/>
              </w:rPr>
            </w:pPr>
            <w:r w:rsidRPr="003427A6">
              <w:rPr>
                <w:rFonts w:ascii="Candara" w:hAnsi="Candara" w:cs="Arial"/>
                <w:sz w:val="22"/>
              </w:rPr>
              <w:t>Mitochondria</w:t>
            </w:r>
            <w:r w:rsidR="00B539C5" w:rsidRPr="003427A6">
              <w:rPr>
                <w:rFonts w:ascii="Candara" w:hAnsi="Candara" w:cs="Arial"/>
                <w:sz w:val="22"/>
              </w:rPr>
              <w:t>,</w:t>
            </w:r>
          </w:p>
          <w:p w14:paraId="0D189C02" w14:textId="3D96D3E8" w:rsidR="004F5DAA" w:rsidRPr="003427A6" w:rsidRDefault="00B539C5" w:rsidP="004E55EE">
            <w:pPr>
              <w:spacing w:line="360" w:lineRule="auto"/>
              <w:jc w:val="center"/>
              <w:rPr>
                <w:rFonts w:ascii="Candara" w:hAnsi="Candara" w:cs="Arial"/>
                <w:sz w:val="22"/>
              </w:rPr>
            </w:pPr>
            <w:r w:rsidRPr="003427A6">
              <w:rPr>
                <w:rFonts w:ascii="Candara" w:hAnsi="Candara" w:cs="Arial"/>
                <w:sz w:val="22"/>
              </w:rPr>
              <w:t>n</w:t>
            </w:r>
            <w:r w:rsidR="004F5DAA" w:rsidRPr="003427A6">
              <w:rPr>
                <w:rFonts w:ascii="Candara" w:hAnsi="Candara" w:cs="Arial"/>
                <w:sz w:val="22"/>
              </w:rPr>
              <w:t>eurons</w:t>
            </w:r>
            <w:r w:rsidR="009F529E" w:rsidRPr="003427A6">
              <w:rPr>
                <w:rFonts w:ascii="Candara" w:hAnsi="Candara" w:cs="Arial"/>
                <w:sz w:val="22"/>
              </w:rPr>
              <w:t xml:space="preserve">, </w:t>
            </w:r>
            <w:r w:rsidRPr="003427A6">
              <w:rPr>
                <w:rFonts w:ascii="Candara" w:hAnsi="Candara" w:cs="Arial"/>
                <w:sz w:val="22"/>
              </w:rPr>
              <w:t>s</w:t>
            </w:r>
            <w:r w:rsidR="009F529E" w:rsidRPr="003427A6">
              <w:rPr>
                <w:rFonts w:ascii="Candara" w:hAnsi="Candara" w:cs="Arial"/>
                <w:sz w:val="22"/>
              </w:rPr>
              <w:t xml:space="preserve">keletal </w:t>
            </w:r>
            <w:r w:rsidRPr="003427A6">
              <w:rPr>
                <w:rFonts w:ascii="Candara" w:hAnsi="Candara" w:cs="Arial"/>
                <w:sz w:val="22"/>
              </w:rPr>
              <w:t>m</w:t>
            </w:r>
            <w:r w:rsidR="009F529E" w:rsidRPr="003427A6">
              <w:rPr>
                <w:rFonts w:ascii="Candara" w:hAnsi="Candara" w:cs="Arial"/>
                <w:sz w:val="22"/>
              </w:rPr>
              <w:t xml:space="preserve">uscle, </w:t>
            </w:r>
            <w:r w:rsidRPr="003427A6">
              <w:rPr>
                <w:rFonts w:ascii="Candara" w:hAnsi="Candara" w:cs="Arial"/>
                <w:sz w:val="22"/>
              </w:rPr>
              <w:t>c</w:t>
            </w:r>
            <w:r w:rsidR="009F529E" w:rsidRPr="003427A6">
              <w:rPr>
                <w:rFonts w:ascii="Candara" w:hAnsi="Candara" w:cs="Arial"/>
                <w:sz w:val="22"/>
              </w:rPr>
              <w:t>ardiomyocyte</w:t>
            </w:r>
          </w:p>
        </w:tc>
        <w:tc>
          <w:tcPr>
            <w:tcW w:w="2070" w:type="dxa"/>
          </w:tcPr>
          <w:p w14:paraId="33FB9C2F" w14:textId="549C21B7" w:rsidR="004F5DAA" w:rsidRPr="003427A6" w:rsidRDefault="004F5DAA" w:rsidP="004E55EE">
            <w:pPr>
              <w:spacing w:line="360" w:lineRule="auto"/>
              <w:jc w:val="center"/>
              <w:rPr>
                <w:rFonts w:ascii="Candara" w:hAnsi="Candara" w:cs="Arial"/>
                <w:sz w:val="22"/>
              </w:rPr>
            </w:pPr>
            <w:r w:rsidRPr="003427A6">
              <w:rPr>
                <w:rFonts w:ascii="Candara" w:hAnsi="Candara" w:cs="Arial"/>
                <w:sz w:val="22"/>
              </w:rPr>
              <w:t>Mutation results in Christianson Syndrome</w:t>
            </w:r>
          </w:p>
        </w:tc>
        <w:tc>
          <w:tcPr>
            <w:tcW w:w="1663" w:type="dxa"/>
          </w:tcPr>
          <w:p w14:paraId="56A390C3" w14:textId="77777777" w:rsidR="004F5DAA" w:rsidRPr="003427A6" w:rsidRDefault="004F5DAA" w:rsidP="004F5DAA">
            <w:pPr>
              <w:spacing w:line="360" w:lineRule="auto"/>
              <w:jc w:val="center"/>
              <w:rPr>
                <w:rFonts w:ascii="Candara" w:hAnsi="Candara" w:cs="Arial"/>
                <w:sz w:val="22"/>
              </w:rPr>
            </w:pPr>
          </w:p>
        </w:tc>
      </w:tr>
      <w:tr w:rsidR="004F5DAA" w:rsidRPr="003427A6" w14:paraId="01103ABC" w14:textId="77777777" w:rsidTr="009F529E">
        <w:trPr>
          <w:jc w:val="center"/>
        </w:trPr>
        <w:tc>
          <w:tcPr>
            <w:tcW w:w="1525" w:type="dxa"/>
          </w:tcPr>
          <w:p w14:paraId="724742D1" w14:textId="3B4E408C" w:rsidR="004F5DAA" w:rsidRPr="003427A6" w:rsidRDefault="004F5DAA" w:rsidP="004E55EE">
            <w:pPr>
              <w:spacing w:line="360" w:lineRule="auto"/>
              <w:jc w:val="center"/>
              <w:rPr>
                <w:rFonts w:ascii="Candara" w:hAnsi="Candara" w:cs="Arial"/>
                <w:sz w:val="22"/>
              </w:rPr>
            </w:pPr>
            <w:r w:rsidRPr="003427A6">
              <w:rPr>
                <w:rFonts w:ascii="Candara" w:hAnsi="Candara" w:cs="Arial"/>
                <w:sz w:val="22"/>
              </w:rPr>
              <w:t>NHE7</w:t>
            </w:r>
            <w:r w:rsidRPr="003427A6">
              <w:rPr>
                <w:rStyle w:val="af8"/>
                <w:rFonts w:ascii="Candara" w:hAnsi="Candara" w:cs="Arial"/>
                <w:sz w:val="22"/>
              </w:rPr>
              <w:endnoteReference w:id="117"/>
            </w:r>
          </w:p>
        </w:tc>
        <w:tc>
          <w:tcPr>
            <w:tcW w:w="1483" w:type="dxa"/>
          </w:tcPr>
          <w:p w14:paraId="32DB3FC4" w14:textId="4A15BE92" w:rsidR="004F5DAA" w:rsidRPr="003427A6" w:rsidRDefault="00445522" w:rsidP="004E55EE">
            <w:pPr>
              <w:spacing w:line="360" w:lineRule="auto"/>
              <w:jc w:val="center"/>
              <w:rPr>
                <w:rFonts w:ascii="Candara" w:hAnsi="Candara" w:cs="Arial"/>
                <w:sz w:val="22"/>
              </w:rPr>
            </w:pPr>
            <w:r w:rsidRPr="003427A6">
              <w:rPr>
                <w:rFonts w:ascii="Candara" w:hAnsi="Candara" w:cs="Arial"/>
                <w:sz w:val="22"/>
              </w:rPr>
              <w:t>X</w:t>
            </w:r>
          </w:p>
        </w:tc>
        <w:tc>
          <w:tcPr>
            <w:tcW w:w="2567" w:type="dxa"/>
          </w:tcPr>
          <w:p w14:paraId="202A1527" w14:textId="535D3F32" w:rsidR="004F5DAA" w:rsidRPr="003427A6" w:rsidRDefault="004F5DAA" w:rsidP="004E55EE">
            <w:pPr>
              <w:spacing w:line="360" w:lineRule="auto"/>
              <w:jc w:val="center"/>
              <w:rPr>
                <w:rFonts w:ascii="Candara" w:hAnsi="Candara" w:cs="Arial"/>
                <w:sz w:val="22"/>
              </w:rPr>
            </w:pPr>
            <w:r w:rsidRPr="003427A6">
              <w:rPr>
                <w:rFonts w:ascii="Candara" w:hAnsi="Candara" w:cs="Arial"/>
                <w:sz w:val="22"/>
              </w:rPr>
              <w:t>Intracellular Golgi apparatus</w:t>
            </w:r>
          </w:p>
        </w:tc>
        <w:tc>
          <w:tcPr>
            <w:tcW w:w="2070" w:type="dxa"/>
          </w:tcPr>
          <w:p w14:paraId="2F7FA292" w14:textId="25E6F9B1" w:rsidR="004F5DAA" w:rsidRPr="003427A6" w:rsidRDefault="00B539C5" w:rsidP="004E55EE">
            <w:pPr>
              <w:spacing w:line="360" w:lineRule="auto"/>
              <w:jc w:val="center"/>
              <w:rPr>
                <w:rFonts w:ascii="Candara" w:hAnsi="Candara" w:cs="Arial"/>
                <w:sz w:val="22"/>
              </w:rPr>
            </w:pPr>
            <w:r w:rsidRPr="003427A6">
              <w:rPr>
                <w:rFonts w:ascii="Candara" w:hAnsi="Candara" w:cs="Arial"/>
                <w:sz w:val="22"/>
              </w:rPr>
              <w:t>Involved in lithium uptake</w:t>
            </w:r>
          </w:p>
        </w:tc>
        <w:tc>
          <w:tcPr>
            <w:tcW w:w="1663" w:type="dxa"/>
          </w:tcPr>
          <w:p w14:paraId="4E8C8D29" w14:textId="77777777" w:rsidR="004F5DAA" w:rsidRPr="003427A6" w:rsidRDefault="004F5DAA" w:rsidP="004F5DAA">
            <w:pPr>
              <w:spacing w:line="360" w:lineRule="auto"/>
              <w:jc w:val="center"/>
              <w:rPr>
                <w:rFonts w:ascii="Candara" w:hAnsi="Candara" w:cs="Arial"/>
                <w:sz w:val="22"/>
              </w:rPr>
            </w:pPr>
          </w:p>
        </w:tc>
      </w:tr>
      <w:tr w:rsidR="004F5DAA" w:rsidRPr="003427A6" w14:paraId="44A74A94" w14:textId="77777777" w:rsidTr="009F529E">
        <w:trPr>
          <w:jc w:val="center"/>
        </w:trPr>
        <w:tc>
          <w:tcPr>
            <w:tcW w:w="1525" w:type="dxa"/>
          </w:tcPr>
          <w:p w14:paraId="09D025D3" w14:textId="384F946E" w:rsidR="004F5DAA" w:rsidRPr="003427A6" w:rsidRDefault="004F5DAA" w:rsidP="004E55EE">
            <w:pPr>
              <w:spacing w:line="360" w:lineRule="auto"/>
              <w:jc w:val="center"/>
              <w:rPr>
                <w:rFonts w:ascii="Candara" w:hAnsi="Candara" w:cs="Arial"/>
                <w:sz w:val="22"/>
              </w:rPr>
            </w:pPr>
            <w:r w:rsidRPr="003427A6">
              <w:rPr>
                <w:rFonts w:ascii="Candara" w:hAnsi="Candara" w:cs="Arial"/>
                <w:sz w:val="22"/>
              </w:rPr>
              <w:t>NHE8</w:t>
            </w:r>
            <w:r w:rsidRPr="003427A6">
              <w:rPr>
                <w:rStyle w:val="af8"/>
                <w:rFonts w:ascii="Candara" w:hAnsi="Candara" w:cs="Arial"/>
                <w:sz w:val="22"/>
              </w:rPr>
              <w:endnoteReference w:id="118"/>
            </w:r>
          </w:p>
        </w:tc>
        <w:tc>
          <w:tcPr>
            <w:tcW w:w="1483" w:type="dxa"/>
          </w:tcPr>
          <w:p w14:paraId="1147CCB9" w14:textId="47BE1D9A" w:rsidR="004F5DAA" w:rsidRPr="003427A6" w:rsidRDefault="004F5DAA" w:rsidP="004E55EE">
            <w:pPr>
              <w:spacing w:line="360" w:lineRule="auto"/>
              <w:jc w:val="center"/>
              <w:rPr>
                <w:rFonts w:ascii="Candara" w:hAnsi="Candara" w:cs="Arial"/>
                <w:sz w:val="22"/>
              </w:rPr>
            </w:pPr>
            <w:r w:rsidRPr="003427A6">
              <w:rPr>
                <w:rFonts w:ascii="Candara" w:hAnsi="Candara" w:cs="Arial"/>
                <w:sz w:val="22"/>
              </w:rPr>
              <w:t>20</w:t>
            </w:r>
          </w:p>
        </w:tc>
        <w:tc>
          <w:tcPr>
            <w:tcW w:w="2567" w:type="dxa"/>
          </w:tcPr>
          <w:p w14:paraId="0A858A1C" w14:textId="445478AB" w:rsidR="004F5DAA" w:rsidRPr="003427A6" w:rsidRDefault="004F5DAA" w:rsidP="004E55EE">
            <w:pPr>
              <w:spacing w:line="360" w:lineRule="auto"/>
              <w:jc w:val="center"/>
              <w:rPr>
                <w:rFonts w:ascii="Candara" w:hAnsi="Candara" w:cs="Arial"/>
                <w:sz w:val="22"/>
              </w:rPr>
            </w:pPr>
            <w:r w:rsidRPr="003427A6">
              <w:rPr>
                <w:rFonts w:ascii="Candara" w:hAnsi="Candara" w:cs="Arial"/>
                <w:sz w:val="22"/>
              </w:rPr>
              <w:t>Retina, intestinal epithelium</w:t>
            </w:r>
            <w:r w:rsidR="00B539C5" w:rsidRPr="003427A6">
              <w:rPr>
                <w:rFonts w:ascii="Candara" w:hAnsi="Candara" w:cs="Arial"/>
                <w:sz w:val="22"/>
              </w:rPr>
              <w:t>, testes</w:t>
            </w:r>
          </w:p>
        </w:tc>
        <w:tc>
          <w:tcPr>
            <w:tcW w:w="2070" w:type="dxa"/>
          </w:tcPr>
          <w:p w14:paraId="4360ED33" w14:textId="50E170C7" w:rsidR="004F5DAA" w:rsidRPr="003427A6" w:rsidRDefault="00535C10" w:rsidP="004E55EE">
            <w:pPr>
              <w:spacing w:line="360" w:lineRule="auto"/>
              <w:jc w:val="center"/>
              <w:rPr>
                <w:rFonts w:ascii="Candara" w:hAnsi="Candara" w:cs="Arial"/>
                <w:sz w:val="22"/>
              </w:rPr>
            </w:pPr>
            <w:r w:rsidRPr="003427A6">
              <w:rPr>
                <w:rFonts w:ascii="Candara" w:hAnsi="Candara" w:cs="Arial"/>
                <w:sz w:val="22"/>
              </w:rPr>
              <w:t xml:space="preserve">Responsible for </w:t>
            </w:r>
            <w:r w:rsidR="00E23536" w:rsidRPr="003427A6">
              <w:rPr>
                <w:rFonts w:ascii="Candara" w:hAnsi="Candara" w:cs="Arial"/>
                <w:sz w:val="22"/>
              </w:rPr>
              <w:t>mucosal</w:t>
            </w:r>
            <w:r w:rsidR="00B539C5" w:rsidRPr="003427A6">
              <w:rPr>
                <w:rFonts w:ascii="Candara" w:hAnsi="Candara" w:cs="Arial"/>
                <w:sz w:val="22"/>
              </w:rPr>
              <w:t xml:space="preserve"> integrity</w:t>
            </w:r>
          </w:p>
        </w:tc>
        <w:tc>
          <w:tcPr>
            <w:tcW w:w="1663" w:type="dxa"/>
          </w:tcPr>
          <w:p w14:paraId="787892DE" w14:textId="77777777" w:rsidR="004F5DAA" w:rsidRPr="003427A6" w:rsidRDefault="004F5DAA" w:rsidP="004F5DAA">
            <w:pPr>
              <w:spacing w:line="360" w:lineRule="auto"/>
              <w:jc w:val="center"/>
              <w:rPr>
                <w:rFonts w:ascii="Candara" w:hAnsi="Candara" w:cs="Arial"/>
                <w:sz w:val="22"/>
              </w:rPr>
            </w:pPr>
          </w:p>
        </w:tc>
      </w:tr>
      <w:tr w:rsidR="004F5DAA" w:rsidRPr="003427A6" w14:paraId="1D78D8F3" w14:textId="77777777" w:rsidTr="009F529E">
        <w:trPr>
          <w:jc w:val="center"/>
        </w:trPr>
        <w:tc>
          <w:tcPr>
            <w:tcW w:w="1525" w:type="dxa"/>
          </w:tcPr>
          <w:p w14:paraId="1505B873" w14:textId="6A0DF01B" w:rsidR="004F5DAA" w:rsidRPr="003427A6" w:rsidRDefault="004F5DAA" w:rsidP="004E55EE">
            <w:pPr>
              <w:spacing w:line="360" w:lineRule="auto"/>
              <w:jc w:val="center"/>
              <w:rPr>
                <w:rFonts w:ascii="Candara" w:hAnsi="Candara" w:cs="Arial"/>
                <w:sz w:val="22"/>
              </w:rPr>
            </w:pPr>
            <w:r w:rsidRPr="003427A6">
              <w:rPr>
                <w:rFonts w:ascii="Candara" w:hAnsi="Candara" w:cs="Arial"/>
                <w:sz w:val="22"/>
              </w:rPr>
              <w:t>NHE9</w:t>
            </w:r>
            <w:r w:rsidRPr="003427A6">
              <w:rPr>
                <w:rStyle w:val="af8"/>
                <w:rFonts w:ascii="Candara" w:hAnsi="Candara" w:cs="Arial"/>
                <w:sz w:val="22"/>
              </w:rPr>
              <w:endnoteReference w:id="119"/>
            </w:r>
          </w:p>
        </w:tc>
        <w:tc>
          <w:tcPr>
            <w:tcW w:w="1483" w:type="dxa"/>
          </w:tcPr>
          <w:p w14:paraId="1781DAAA" w14:textId="3F3CB3FE" w:rsidR="004F5DAA" w:rsidRPr="003427A6" w:rsidRDefault="00445522" w:rsidP="004E55EE">
            <w:pPr>
              <w:spacing w:line="360" w:lineRule="auto"/>
              <w:jc w:val="center"/>
              <w:rPr>
                <w:rFonts w:ascii="Candara" w:hAnsi="Candara" w:cs="Arial"/>
                <w:sz w:val="22"/>
              </w:rPr>
            </w:pPr>
            <w:r w:rsidRPr="003427A6">
              <w:rPr>
                <w:rFonts w:ascii="Candara" w:hAnsi="Candara" w:cs="Arial"/>
                <w:sz w:val="22"/>
              </w:rPr>
              <w:t>3</w:t>
            </w:r>
          </w:p>
        </w:tc>
        <w:tc>
          <w:tcPr>
            <w:tcW w:w="2567" w:type="dxa"/>
          </w:tcPr>
          <w:p w14:paraId="6BAE58CA" w14:textId="5CB5B038" w:rsidR="004F5DAA" w:rsidRPr="003427A6" w:rsidRDefault="00B25352" w:rsidP="004E55EE">
            <w:pPr>
              <w:spacing w:line="360" w:lineRule="auto"/>
              <w:jc w:val="center"/>
              <w:rPr>
                <w:rFonts w:ascii="Candara" w:hAnsi="Candara" w:cs="Arial"/>
                <w:sz w:val="22"/>
              </w:rPr>
            </w:pPr>
            <w:r w:rsidRPr="003427A6">
              <w:rPr>
                <w:rFonts w:ascii="Candara" w:hAnsi="Candara" w:cs="Arial"/>
                <w:sz w:val="22"/>
              </w:rPr>
              <w:t>Brain</w:t>
            </w:r>
            <w:r w:rsidR="004F5DAA" w:rsidRPr="003427A6">
              <w:rPr>
                <w:rFonts w:ascii="Candara" w:hAnsi="Candara" w:cs="Arial"/>
                <w:sz w:val="22"/>
              </w:rPr>
              <w:t xml:space="preserve"> microvasculature</w:t>
            </w:r>
          </w:p>
        </w:tc>
        <w:tc>
          <w:tcPr>
            <w:tcW w:w="2070" w:type="dxa"/>
          </w:tcPr>
          <w:p w14:paraId="4C290C63" w14:textId="0211AFF3" w:rsidR="004F5DAA" w:rsidRPr="003427A6" w:rsidRDefault="00B539C5" w:rsidP="004E55EE">
            <w:pPr>
              <w:spacing w:line="360" w:lineRule="auto"/>
              <w:jc w:val="center"/>
              <w:rPr>
                <w:rFonts w:ascii="Candara" w:hAnsi="Candara" w:cs="Arial"/>
                <w:sz w:val="22"/>
              </w:rPr>
            </w:pPr>
            <w:r w:rsidRPr="003427A6">
              <w:rPr>
                <w:rFonts w:ascii="Candara" w:hAnsi="Candara" w:cs="Arial"/>
                <w:sz w:val="22"/>
              </w:rPr>
              <w:t>Upregulated in glioblastoma</w:t>
            </w:r>
          </w:p>
        </w:tc>
        <w:tc>
          <w:tcPr>
            <w:tcW w:w="1663" w:type="dxa"/>
          </w:tcPr>
          <w:p w14:paraId="5DCD0655" w14:textId="787DC01F" w:rsidR="004F5DAA" w:rsidRPr="003427A6" w:rsidRDefault="004F5DAA" w:rsidP="004F5DAA">
            <w:pPr>
              <w:spacing w:line="360" w:lineRule="auto"/>
              <w:jc w:val="center"/>
              <w:rPr>
                <w:rFonts w:ascii="Candara" w:hAnsi="Candara" w:cs="Arial"/>
                <w:sz w:val="22"/>
              </w:rPr>
            </w:pPr>
          </w:p>
        </w:tc>
      </w:tr>
      <w:tr w:rsidR="004F5DAA" w:rsidRPr="003427A6" w14:paraId="7D802689" w14:textId="77777777" w:rsidTr="009F529E">
        <w:trPr>
          <w:jc w:val="center"/>
        </w:trPr>
        <w:tc>
          <w:tcPr>
            <w:tcW w:w="1525" w:type="dxa"/>
          </w:tcPr>
          <w:p w14:paraId="42C20BF2" w14:textId="5CEC3DED" w:rsidR="004F5DAA" w:rsidRPr="003427A6" w:rsidRDefault="004F5DAA" w:rsidP="004E55EE">
            <w:pPr>
              <w:spacing w:line="360" w:lineRule="auto"/>
              <w:jc w:val="center"/>
              <w:rPr>
                <w:rFonts w:ascii="Candara" w:hAnsi="Candara" w:cs="Arial"/>
                <w:sz w:val="22"/>
              </w:rPr>
            </w:pPr>
            <w:r w:rsidRPr="003427A6">
              <w:rPr>
                <w:rFonts w:ascii="Candara" w:hAnsi="Candara" w:cs="Arial"/>
                <w:sz w:val="22"/>
              </w:rPr>
              <w:t>NHE10</w:t>
            </w:r>
            <w:r w:rsidRPr="003427A6">
              <w:rPr>
                <w:rStyle w:val="af8"/>
                <w:rFonts w:ascii="Candara" w:hAnsi="Candara" w:cs="Arial"/>
                <w:sz w:val="22"/>
              </w:rPr>
              <w:endnoteReference w:id="120"/>
            </w:r>
          </w:p>
        </w:tc>
        <w:tc>
          <w:tcPr>
            <w:tcW w:w="1483" w:type="dxa"/>
          </w:tcPr>
          <w:p w14:paraId="295124C6" w14:textId="16D1DFA8" w:rsidR="004F5DAA" w:rsidRPr="003427A6" w:rsidRDefault="00445522" w:rsidP="004E55EE">
            <w:pPr>
              <w:spacing w:line="360" w:lineRule="auto"/>
              <w:jc w:val="center"/>
              <w:rPr>
                <w:rFonts w:ascii="Candara" w:hAnsi="Candara" w:cs="Arial"/>
                <w:sz w:val="22"/>
              </w:rPr>
            </w:pPr>
            <w:r w:rsidRPr="003427A6">
              <w:rPr>
                <w:rFonts w:ascii="Candara" w:hAnsi="Candara" w:cs="Arial"/>
                <w:sz w:val="22"/>
              </w:rPr>
              <w:t>4</w:t>
            </w:r>
          </w:p>
        </w:tc>
        <w:tc>
          <w:tcPr>
            <w:tcW w:w="2567" w:type="dxa"/>
          </w:tcPr>
          <w:p w14:paraId="28FC7BF3" w14:textId="7112B8E4" w:rsidR="004F5DAA" w:rsidRPr="003427A6" w:rsidRDefault="004F5DAA" w:rsidP="004E55EE">
            <w:pPr>
              <w:spacing w:line="360" w:lineRule="auto"/>
              <w:jc w:val="center"/>
              <w:rPr>
                <w:rFonts w:ascii="Candara" w:hAnsi="Candara" w:cs="Arial"/>
                <w:sz w:val="22"/>
              </w:rPr>
            </w:pPr>
            <w:r w:rsidRPr="003427A6">
              <w:rPr>
                <w:rFonts w:ascii="Candara" w:hAnsi="Candara" w:cs="Arial"/>
                <w:sz w:val="22"/>
              </w:rPr>
              <w:t>Bone osteoclasts</w:t>
            </w:r>
          </w:p>
        </w:tc>
        <w:tc>
          <w:tcPr>
            <w:tcW w:w="2070" w:type="dxa"/>
          </w:tcPr>
          <w:p w14:paraId="23321911" w14:textId="77777777" w:rsidR="004F5DAA" w:rsidRPr="003427A6" w:rsidRDefault="004F5DAA" w:rsidP="004E55EE">
            <w:pPr>
              <w:spacing w:line="360" w:lineRule="auto"/>
              <w:jc w:val="center"/>
              <w:rPr>
                <w:rFonts w:ascii="Candara" w:hAnsi="Candara" w:cs="Arial"/>
                <w:sz w:val="22"/>
              </w:rPr>
            </w:pPr>
          </w:p>
        </w:tc>
        <w:tc>
          <w:tcPr>
            <w:tcW w:w="1663" w:type="dxa"/>
          </w:tcPr>
          <w:p w14:paraId="53F873D2" w14:textId="0B405A27" w:rsidR="004F5DAA" w:rsidRPr="003427A6" w:rsidRDefault="004F5DAA" w:rsidP="004E55EE">
            <w:pPr>
              <w:spacing w:line="360" w:lineRule="auto"/>
              <w:jc w:val="center"/>
              <w:rPr>
                <w:rFonts w:ascii="Candara" w:hAnsi="Candara" w:cs="Arial"/>
                <w:sz w:val="22"/>
              </w:rPr>
            </w:pPr>
          </w:p>
        </w:tc>
      </w:tr>
    </w:tbl>
    <w:p w14:paraId="368DFB50" w14:textId="77777777" w:rsidR="004E55EE" w:rsidRPr="003427A6" w:rsidRDefault="004E55EE" w:rsidP="009C0FDA">
      <w:pPr>
        <w:spacing w:line="360" w:lineRule="auto"/>
        <w:rPr>
          <w:rFonts w:ascii="Candara" w:hAnsi="Candara" w:cs="Arial"/>
          <w:b/>
          <w:sz w:val="22"/>
        </w:rPr>
      </w:pPr>
    </w:p>
    <w:p w14:paraId="02A9F39D" w14:textId="2959F0D9" w:rsidR="00FE6A20" w:rsidRPr="003427A6" w:rsidRDefault="00FE6A20">
      <w:pPr>
        <w:rPr>
          <w:rFonts w:ascii="Candara" w:hAnsi="Candara" w:cs="Arial"/>
          <w:b/>
          <w:sz w:val="22"/>
        </w:rPr>
      </w:pPr>
      <w:r w:rsidRPr="003427A6">
        <w:rPr>
          <w:rFonts w:ascii="Candara" w:hAnsi="Candara" w:cs="Arial"/>
          <w:b/>
          <w:sz w:val="22"/>
        </w:rPr>
        <w:br w:type="page"/>
      </w:r>
    </w:p>
    <w:p w14:paraId="23081D1A" w14:textId="2674B9A8" w:rsidR="003427A6" w:rsidRPr="003427A6" w:rsidRDefault="003427A6" w:rsidP="009C0FDA">
      <w:pPr>
        <w:spacing w:line="360" w:lineRule="auto"/>
        <w:rPr>
          <w:rFonts w:ascii="Candara" w:eastAsia="宋体" w:hAnsi="Candara" w:cs="Arial"/>
          <w:b/>
          <w:sz w:val="22"/>
          <w:lang w:eastAsia="zh-CN"/>
        </w:rPr>
      </w:pPr>
      <w:r w:rsidRPr="003427A6">
        <w:rPr>
          <w:rFonts w:ascii="Candara" w:eastAsia="宋体" w:hAnsi="Candara" w:cs="Arial" w:hint="eastAsia"/>
          <w:b/>
          <w:sz w:val="22"/>
          <w:lang w:eastAsia="zh-CN"/>
        </w:rPr>
        <w:lastRenderedPageBreak/>
        <w:t>Figures and lagends</w:t>
      </w:r>
    </w:p>
    <w:p w14:paraId="100C72C3" w14:textId="0B880F39" w:rsidR="003427A6" w:rsidRPr="003427A6" w:rsidRDefault="003427A6" w:rsidP="009C0FDA">
      <w:pPr>
        <w:spacing w:line="360" w:lineRule="auto"/>
        <w:rPr>
          <w:rFonts w:ascii="Candara" w:hAnsi="Candara" w:cs="Arial"/>
          <w:b/>
          <w:sz w:val="22"/>
        </w:rPr>
      </w:pPr>
      <w:r w:rsidRPr="003427A6">
        <w:rPr>
          <w:rFonts w:ascii="Candara" w:hAnsi="Candara" w:cs="Arial"/>
          <w:b/>
          <w:noProof/>
          <w:sz w:val="22"/>
          <w:lang w:eastAsia="zh-CN"/>
        </w:rPr>
        <w:drawing>
          <wp:inline distT="0" distB="0" distL="0" distR="0" wp14:anchorId="4D832501" wp14:editId="6BEFFA51">
            <wp:extent cx="5494351" cy="1995170"/>
            <wp:effectExtent l="0" t="0" r="0" b="5080"/>
            <wp:docPr id="1" name="图片 1" descr="C:\Users\wangyun_fb\Desktop\2.article图\RCM 201804021\Fig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gyun_fb\Desktop\2.article图\RCM 201804021\Figure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936" cy="2033874"/>
                    </a:xfrm>
                    <a:prstGeom prst="rect">
                      <a:avLst/>
                    </a:prstGeom>
                    <a:noFill/>
                    <a:ln>
                      <a:noFill/>
                    </a:ln>
                  </pic:spPr>
                </pic:pic>
              </a:graphicData>
            </a:graphic>
          </wp:inline>
        </w:drawing>
      </w:r>
    </w:p>
    <w:p w14:paraId="4B7E3D80" w14:textId="0B6A8211" w:rsidR="00661951" w:rsidRPr="003427A6" w:rsidRDefault="00661951" w:rsidP="009C0FDA">
      <w:pPr>
        <w:spacing w:line="360" w:lineRule="auto"/>
        <w:rPr>
          <w:rFonts w:ascii="Candara" w:hAnsi="Candara" w:cs="Arial"/>
          <w:sz w:val="22"/>
        </w:rPr>
      </w:pPr>
      <w:r w:rsidRPr="003427A6">
        <w:rPr>
          <w:rFonts w:ascii="Candara" w:hAnsi="Candara" w:cs="Arial"/>
          <w:b/>
          <w:sz w:val="22"/>
        </w:rPr>
        <w:t xml:space="preserve">Figure 1.   </w:t>
      </w:r>
      <w:r w:rsidR="00F319EB" w:rsidRPr="003427A6">
        <w:rPr>
          <w:rFonts w:ascii="Candara" w:hAnsi="Candara" w:cs="Arial"/>
          <w:sz w:val="22"/>
        </w:rPr>
        <w:t>Figure 1. Cardiovascular outcomes from:  the Dapagliflozin Effect on CardiovascuLAR Events (DECLARE-TIMI 58) trial, the Canagliflozin Cardiovascular Assessment Study (CANVAS), the Cardiovascular Outcome Event Trial in Type 2 Diabetes Mellitus Patients (EMPA-REG OUTCOME). Data reported as relative risk (RR) reduction percentage, p-value. RR reduction percentages calculated from hazard ratios for event rates per 1000 patient-years. HHF=heart failure hospitalization; CV=cardiovascular; MACE=major adverse cardiovascular event.</w:t>
      </w:r>
    </w:p>
    <w:p w14:paraId="3D56E364" w14:textId="585B6FBF" w:rsidR="00661951" w:rsidRPr="003427A6" w:rsidRDefault="00661951" w:rsidP="009C0FDA">
      <w:pPr>
        <w:spacing w:line="360" w:lineRule="auto"/>
        <w:rPr>
          <w:rFonts w:ascii="Candara" w:hAnsi="Candara" w:cs="Arial"/>
          <w:b/>
          <w:sz w:val="22"/>
        </w:rPr>
      </w:pPr>
    </w:p>
    <w:p w14:paraId="46DAC87B" w14:textId="5865E5B9" w:rsidR="003427A6" w:rsidRPr="003427A6" w:rsidRDefault="003427A6" w:rsidP="009C0FDA">
      <w:pPr>
        <w:spacing w:line="360" w:lineRule="auto"/>
        <w:rPr>
          <w:rFonts w:ascii="Candara" w:hAnsi="Candara" w:cs="Arial"/>
          <w:b/>
          <w:sz w:val="22"/>
        </w:rPr>
      </w:pPr>
      <w:r w:rsidRPr="003427A6">
        <w:rPr>
          <w:rFonts w:ascii="Candara" w:hAnsi="Candara" w:cs="Arial"/>
          <w:b/>
          <w:noProof/>
          <w:sz w:val="22"/>
          <w:lang w:eastAsia="zh-CN"/>
        </w:rPr>
        <w:drawing>
          <wp:inline distT="0" distB="0" distL="0" distR="0" wp14:anchorId="43ED02B0" wp14:editId="1625E67A">
            <wp:extent cx="5942838" cy="2592125"/>
            <wp:effectExtent l="0" t="0" r="1270" b="0"/>
            <wp:docPr id="2" name="图片 2" descr="C:\Users\wangyun_fb\Desktop\2.article图\RCM 201804021\Fig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ngyun_fb\Desktop\2.article图\RCM 201804021\Figure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9605" cy="2599439"/>
                    </a:xfrm>
                    <a:prstGeom prst="rect">
                      <a:avLst/>
                    </a:prstGeom>
                    <a:noFill/>
                    <a:ln>
                      <a:noFill/>
                    </a:ln>
                  </pic:spPr>
                </pic:pic>
              </a:graphicData>
            </a:graphic>
          </wp:inline>
        </w:drawing>
      </w:r>
    </w:p>
    <w:p w14:paraId="4072EB6D" w14:textId="1B389E1F" w:rsidR="00661951" w:rsidRPr="003427A6" w:rsidRDefault="00661951" w:rsidP="009C0FDA">
      <w:pPr>
        <w:spacing w:line="360" w:lineRule="auto"/>
        <w:rPr>
          <w:rFonts w:ascii="Candara" w:hAnsi="Candara" w:cs="Arial"/>
          <w:sz w:val="22"/>
        </w:rPr>
      </w:pPr>
      <w:r w:rsidRPr="003427A6">
        <w:rPr>
          <w:rFonts w:ascii="Candara" w:hAnsi="Candara" w:cs="Arial"/>
          <w:b/>
          <w:sz w:val="22"/>
        </w:rPr>
        <w:t xml:space="preserve">Figure 2.  </w:t>
      </w:r>
      <w:r w:rsidRPr="003427A6">
        <w:rPr>
          <w:rFonts w:ascii="Candara" w:hAnsi="Candara" w:cs="Arial"/>
          <w:sz w:val="22"/>
        </w:rPr>
        <w:t>S</w:t>
      </w:r>
      <w:r w:rsidR="004329B0" w:rsidRPr="003427A6">
        <w:rPr>
          <w:rFonts w:ascii="Candara" w:hAnsi="Candara" w:cs="Arial"/>
          <w:sz w:val="22"/>
        </w:rPr>
        <w:t>odium-</w:t>
      </w:r>
      <w:r w:rsidRPr="003427A6">
        <w:rPr>
          <w:rFonts w:ascii="Candara" w:hAnsi="Candara" w:cs="Arial"/>
          <w:sz w:val="22"/>
        </w:rPr>
        <w:t>hydrogen exchanger</w:t>
      </w:r>
      <w:r w:rsidR="00F35028" w:rsidRPr="003427A6">
        <w:rPr>
          <w:rFonts w:ascii="Candara" w:hAnsi="Candara" w:cs="Arial"/>
          <w:sz w:val="22"/>
        </w:rPr>
        <w:t xml:space="preserve"> </w:t>
      </w:r>
      <w:r w:rsidR="004329B0" w:rsidRPr="003427A6">
        <w:rPr>
          <w:rFonts w:ascii="Candara" w:hAnsi="Candara" w:cs="Arial"/>
          <w:sz w:val="22"/>
        </w:rPr>
        <w:t>(</w:t>
      </w:r>
      <w:r w:rsidR="00F35028" w:rsidRPr="003427A6">
        <w:rPr>
          <w:rFonts w:ascii="Candara" w:hAnsi="Candara" w:cs="Arial"/>
          <w:sz w:val="22"/>
        </w:rPr>
        <w:t>NHE</w:t>
      </w:r>
      <w:r w:rsidRPr="003427A6">
        <w:rPr>
          <w:rFonts w:ascii="Candara" w:hAnsi="Candara" w:cs="Arial"/>
          <w:sz w:val="22"/>
        </w:rPr>
        <w:t>) functions and locations within cells</w:t>
      </w:r>
      <w:r w:rsidR="00F35028" w:rsidRPr="003427A6">
        <w:rPr>
          <w:rFonts w:ascii="Candara" w:hAnsi="Candara" w:cs="Arial"/>
          <w:sz w:val="22"/>
        </w:rPr>
        <w:t>. (A) Locations of NHEs 1-5 in the plasma membrane and NHEs 6-9 in the organelles of somatic cells, and NHE10 in osteoclastic cells. (B) Illustration of pH regulation in somatic organelles.</w:t>
      </w:r>
      <w:r w:rsidR="00D53EBB" w:rsidRPr="003427A6">
        <w:rPr>
          <w:rFonts w:ascii="Candara" w:hAnsi="Candara" w:cs="Arial"/>
          <w:sz w:val="22"/>
        </w:rPr>
        <w:t xml:space="preserve"> </w:t>
      </w:r>
      <w:r w:rsidR="00E2113A" w:rsidRPr="003427A6">
        <w:rPr>
          <w:rFonts w:ascii="Candara" w:hAnsi="Candara" w:cs="Arial"/>
          <w:sz w:val="22"/>
        </w:rPr>
        <w:t xml:space="preserve">TGN=trans-Golgi network; ER=endoplasmic reticulum. </w:t>
      </w:r>
      <w:r w:rsidR="00D53EBB" w:rsidRPr="003427A6">
        <w:rPr>
          <w:rFonts w:ascii="Candara" w:hAnsi="Candara" w:cs="Arial"/>
          <w:sz w:val="22"/>
        </w:rPr>
        <w:t>Adapted from Ohgaki et al. and Yuan et al.</w:t>
      </w:r>
      <w:r w:rsidR="00D53EBB" w:rsidRPr="003427A6">
        <w:rPr>
          <w:rStyle w:val="af8"/>
          <w:rFonts w:ascii="Candara" w:hAnsi="Candara" w:cs="Arial"/>
          <w:sz w:val="22"/>
        </w:rPr>
        <w:endnoteReference w:id="121"/>
      </w:r>
      <w:r w:rsidR="00D53EBB" w:rsidRPr="003427A6">
        <w:rPr>
          <w:rFonts w:ascii="Candara" w:hAnsi="Candara" w:cs="Arial"/>
          <w:sz w:val="22"/>
        </w:rPr>
        <w:t xml:space="preserve"> </w:t>
      </w:r>
      <w:r w:rsidR="00D53EBB" w:rsidRPr="003427A6">
        <w:rPr>
          <w:rStyle w:val="af8"/>
          <w:rFonts w:ascii="Candara" w:hAnsi="Candara" w:cs="Arial"/>
          <w:sz w:val="22"/>
        </w:rPr>
        <w:endnoteReference w:id="122"/>
      </w:r>
    </w:p>
    <w:p w14:paraId="32029490" w14:textId="6A548BEB" w:rsidR="00661951" w:rsidRPr="003427A6" w:rsidRDefault="00661951" w:rsidP="009C0FDA">
      <w:pPr>
        <w:spacing w:line="360" w:lineRule="auto"/>
        <w:rPr>
          <w:rFonts w:ascii="Candara" w:hAnsi="Candara" w:cs="Arial"/>
          <w:b/>
          <w:sz w:val="22"/>
        </w:rPr>
      </w:pPr>
    </w:p>
    <w:p w14:paraId="4888B29A" w14:textId="05618A2F" w:rsidR="003427A6" w:rsidRPr="003427A6" w:rsidRDefault="003427A6" w:rsidP="009C0FDA">
      <w:pPr>
        <w:spacing w:line="360" w:lineRule="auto"/>
        <w:rPr>
          <w:rFonts w:ascii="Candara" w:hAnsi="Candara" w:cs="Arial"/>
          <w:b/>
          <w:sz w:val="22"/>
        </w:rPr>
      </w:pPr>
      <w:r w:rsidRPr="003427A6">
        <w:rPr>
          <w:rFonts w:ascii="Candara" w:hAnsi="Candara" w:cs="Arial"/>
          <w:b/>
          <w:noProof/>
          <w:sz w:val="22"/>
          <w:lang w:eastAsia="zh-CN"/>
        </w:rPr>
        <w:lastRenderedPageBreak/>
        <w:drawing>
          <wp:inline distT="0" distB="0" distL="0" distR="0" wp14:anchorId="17D0E8C6" wp14:editId="45587DBD">
            <wp:extent cx="5375082" cy="2353310"/>
            <wp:effectExtent l="0" t="0" r="0" b="8890"/>
            <wp:docPr id="3" name="图片 3" descr="C:\Users\wangyun_fb\Desktop\2.article图\RCM 201804021\Figur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angyun_fb\Desktop\2.article图\RCM 201804021\Figure 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1094" cy="2364699"/>
                    </a:xfrm>
                    <a:prstGeom prst="rect">
                      <a:avLst/>
                    </a:prstGeom>
                    <a:noFill/>
                    <a:ln>
                      <a:noFill/>
                    </a:ln>
                  </pic:spPr>
                </pic:pic>
              </a:graphicData>
            </a:graphic>
          </wp:inline>
        </w:drawing>
      </w:r>
    </w:p>
    <w:p w14:paraId="531C5EF2" w14:textId="666510D1" w:rsidR="00503324" w:rsidRPr="003427A6" w:rsidRDefault="00661951" w:rsidP="00503324">
      <w:pPr>
        <w:spacing w:line="360" w:lineRule="auto"/>
        <w:rPr>
          <w:rFonts w:ascii="Candara" w:hAnsi="Candara" w:cs="Arial"/>
          <w:sz w:val="22"/>
        </w:rPr>
      </w:pPr>
      <w:r w:rsidRPr="003427A6">
        <w:rPr>
          <w:rFonts w:ascii="Candara" w:hAnsi="Candara" w:cs="Arial"/>
          <w:b/>
          <w:sz w:val="22"/>
        </w:rPr>
        <w:t xml:space="preserve">Figure 3.   </w:t>
      </w:r>
      <w:r w:rsidR="00720634" w:rsidRPr="003427A6">
        <w:rPr>
          <w:rFonts w:ascii="Candara" w:hAnsi="Candara" w:cs="Arial"/>
          <w:sz w:val="22"/>
        </w:rPr>
        <w:t>Sodium glucose co-transporter 2 inhibitors</w:t>
      </w:r>
      <w:r w:rsidR="00720634" w:rsidRPr="003427A6">
        <w:rPr>
          <w:rFonts w:ascii="Candara" w:hAnsi="Candara" w:cs="Arial"/>
          <w:b/>
          <w:sz w:val="22"/>
        </w:rPr>
        <w:t xml:space="preserve"> </w:t>
      </w:r>
      <w:r w:rsidRPr="003427A6">
        <w:rPr>
          <w:rFonts w:ascii="Candara" w:hAnsi="Candara" w:cs="Arial"/>
          <w:sz w:val="22"/>
        </w:rPr>
        <w:t xml:space="preserve">mediate </w:t>
      </w:r>
      <w:r w:rsidR="00720634" w:rsidRPr="003427A6">
        <w:rPr>
          <w:rFonts w:ascii="Candara" w:hAnsi="Candara" w:cs="Arial"/>
          <w:sz w:val="22"/>
        </w:rPr>
        <w:t xml:space="preserve">sodium-hydrogen exchanger 1 </w:t>
      </w:r>
      <w:r w:rsidRPr="003427A6">
        <w:rPr>
          <w:rFonts w:ascii="Candara" w:hAnsi="Candara" w:cs="Arial"/>
          <w:sz w:val="22"/>
        </w:rPr>
        <w:t>inhibition and blunting of the restoration of pH of cardiomyocytes in response to an acid challenge</w:t>
      </w:r>
      <w:r w:rsidR="00503324" w:rsidRPr="003427A6">
        <w:rPr>
          <w:rFonts w:ascii="Candara" w:hAnsi="Candara" w:cs="Arial"/>
          <w:sz w:val="22"/>
        </w:rPr>
        <w:t>. All p</w:t>
      </w:r>
      <w:r w:rsidR="004670D8" w:rsidRPr="003427A6">
        <w:rPr>
          <w:rFonts w:ascii="Candara" w:hAnsi="Candara" w:cs="Arial"/>
          <w:sz w:val="22"/>
        </w:rPr>
        <w:t xml:space="preserve">-values </w:t>
      </w:r>
      <w:r w:rsidR="00503324" w:rsidRPr="003427A6">
        <w:rPr>
          <w:rFonts w:ascii="Candara" w:hAnsi="Candara" w:cs="Arial"/>
          <w:sz w:val="22"/>
        </w:rPr>
        <w:t>&lt;</w:t>
      </w:r>
      <w:r w:rsidR="004670D8" w:rsidRPr="003427A6">
        <w:rPr>
          <w:rFonts w:ascii="Candara" w:hAnsi="Candara" w:cs="Arial"/>
          <w:sz w:val="22"/>
        </w:rPr>
        <w:t xml:space="preserve"> </w:t>
      </w:r>
      <w:r w:rsidR="00503324" w:rsidRPr="003427A6">
        <w:rPr>
          <w:rFonts w:ascii="Candara" w:hAnsi="Candara" w:cs="Arial"/>
          <w:sz w:val="22"/>
        </w:rPr>
        <w:t>0.001. Adapted from Uthman et al.</w:t>
      </w:r>
      <w:r w:rsidR="005963D4" w:rsidRPr="003427A6">
        <w:rPr>
          <w:rFonts w:ascii="Candara" w:hAnsi="Candara" w:cs="Arial"/>
          <w:sz w:val="22"/>
          <w:vertAlign w:val="superscript"/>
        </w:rPr>
        <w:fldChar w:fldCharType="begin"/>
      </w:r>
      <w:r w:rsidR="005963D4" w:rsidRPr="003427A6">
        <w:rPr>
          <w:rFonts w:ascii="Candara" w:hAnsi="Candara" w:cs="Arial"/>
          <w:sz w:val="22"/>
          <w:vertAlign w:val="superscript"/>
        </w:rPr>
        <w:instrText xml:space="preserve"> NOTEREF _Ref531947969 \h </w:instrText>
      </w:r>
      <w:r w:rsidR="003A6436" w:rsidRPr="003427A6">
        <w:rPr>
          <w:rFonts w:ascii="Candara" w:hAnsi="Candara" w:cs="Arial"/>
          <w:sz w:val="22"/>
          <w:vertAlign w:val="superscript"/>
        </w:rPr>
        <w:instrText xml:space="preserve"> \* MERGEFORMAT </w:instrText>
      </w:r>
      <w:r w:rsidR="005963D4" w:rsidRPr="003427A6">
        <w:rPr>
          <w:rFonts w:ascii="Candara" w:hAnsi="Candara" w:cs="Arial"/>
          <w:sz w:val="22"/>
          <w:vertAlign w:val="superscript"/>
        </w:rPr>
      </w:r>
      <w:r w:rsidR="005963D4" w:rsidRPr="003427A6">
        <w:rPr>
          <w:rFonts w:ascii="Candara" w:hAnsi="Candara" w:cs="Arial"/>
          <w:sz w:val="22"/>
          <w:vertAlign w:val="superscript"/>
        </w:rPr>
        <w:fldChar w:fldCharType="separate"/>
      </w:r>
      <w:r w:rsidR="005963D4" w:rsidRPr="003427A6">
        <w:rPr>
          <w:rFonts w:ascii="Candara" w:hAnsi="Candara" w:cs="Arial"/>
          <w:sz w:val="22"/>
          <w:vertAlign w:val="superscript"/>
        </w:rPr>
        <w:t>58</w:t>
      </w:r>
      <w:r w:rsidR="005963D4" w:rsidRPr="003427A6">
        <w:rPr>
          <w:rFonts w:ascii="Candara" w:hAnsi="Candara" w:cs="Arial"/>
          <w:sz w:val="22"/>
          <w:vertAlign w:val="superscript"/>
        </w:rPr>
        <w:fldChar w:fldCharType="end"/>
      </w:r>
    </w:p>
    <w:p w14:paraId="74BFBEE9" w14:textId="7DA896DE" w:rsidR="00661951" w:rsidRPr="003427A6" w:rsidRDefault="00661951" w:rsidP="009C0FDA">
      <w:pPr>
        <w:spacing w:line="360" w:lineRule="auto"/>
        <w:rPr>
          <w:rFonts w:ascii="Candara" w:hAnsi="Candara" w:cs="Arial"/>
          <w:sz w:val="22"/>
        </w:rPr>
      </w:pPr>
    </w:p>
    <w:p w14:paraId="079C2F2C" w14:textId="3936F556" w:rsidR="00661951" w:rsidRPr="003427A6" w:rsidRDefault="003427A6" w:rsidP="009C0FDA">
      <w:pPr>
        <w:spacing w:line="360" w:lineRule="auto"/>
        <w:rPr>
          <w:rFonts w:ascii="Candara" w:hAnsi="Candara" w:cs="Arial"/>
          <w:b/>
          <w:sz w:val="22"/>
        </w:rPr>
      </w:pPr>
      <w:r w:rsidRPr="003427A6">
        <w:rPr>
          <w:rFonts w:ascii="Candara" w:hAnsi="Candara" w:cs="Arial"/>
          <w:b/>
          <w:noProof/>
          <w:sz w:val="22"/>
          <w:lang w:eastAsia="zh-CN"/>
        </w:rPr>
        <w:drawing>
          <wp:inline distT="0" distB="0" distL="0" distR="0" wp14:anchorId="4CC67D1D" wp14:editId="39188A11">
            <wp:extent cx="5168348" cy="3219969"/>
            <wp:effectExtent l="0" t="0" r="0" b="0"/>
            <wp:docPr id="4" name="图片 4" descr="C:\Users\wangyun_fb\Desktop\2.article图\RCM 201804021\Figur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angyun_fb\Desktop\2.article图\RCM 201804021\Figure 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6985" cy="3231580"/>
                    </a:xfrm>
                    <a:prstGeom prst="rect">
                      <a:avLst/>
                    </a:prstGeom>
                    <a:noFill/>
                    <a:ln>
                      <a:noFill/>
                    </a:ln>
                  </pic:spPr>
                </pic:pic>
              </a:graphicData>
            </a:graphic>
          </wp:inline>
        </w:drawing>
      </w:r>
    </w:p>
    <w:p w14:paraId="593A979B" w14:textId="40F79618" w:rsidR="00503324" w:rsidRPr="003427A6" w:rsidRDefault="00661951" w:rsidP="00503324">
      <w:pPr>
        <w:spacing w:line="360" w:lineRule="auto"/>
        <w:rPr>
          <w:rFonts w:ascii="Candara" w:hAnsi="Candara" w:cs="Arial"/>
          <w:sz w:val="22"/>
        </w:rPr>
      </w:pPr>
      <w:r w:rsidRPr="003427A6">
        <w:rPr>
          <w:rFonts w:ascii="Candara" w:hAnsi="Candara" w:cs="Arial"/>
          <w:b/>
          <w:sz w:val="22"/>
        </w:rPr>
        <w:t xml:space="preserve">Figure 4.   </w:t>
      </w:r>
      <w:r w:rsidRPr="003427A6">
        <w:rPr>
          <w:rFonts w:ascii="Candara" w:hAnsi="Candara" w:cs="Arial"/>
          <w:sz w:val="22"/>
        </w:rPr>
        <w:t xml:space="preserve">Molecular structure and binding energy of </w:t>
      </w:r>
      <w:r w:rsidR="00720634" w:rsidRPr="003427A6">
        <w:rPr>
          <w:rFonts w:ascii="Candara" w:hAnsi="Candara" w:cs="Arial"/>
          <w:sz w:val="22"/>
        </w:rPr>
        <w:t>sodium glucose co-transporter 2 inhibitors</w:t>
      </w:r>
      <w:r w:rsidR="00720634" w:rsidRPr="003427A6">
        <w:rPr>
          <w:rFonts w:ascii="Candara" w:hAnsi="Candara" w:cs="Arial"/>
          <w:b/>
          <w:sz w:val="22"/>
        </w:rPr>
        <w:t xml:space="preserve"> </w:t>
      </w:r>
      <w:r w:rsidRPr="003427A6">
        <w:rPr>
          <w:rFonts w:ascii="Candara" w:hAnsi="Candara" w:cs="Arial"/>
          <w:sz w:val="22"/>
        </w:rPr>
        <w:t xml:space="preserve">on the </w:t>
      </w:r>
      <w:r w:rsidR="00720634" w:rsidRPr="003427A6">
        <w:rPr>
          <w:rFonts w:ascii="Candara" w:hAnsi="Candara" w:cs="Arial"/>
          <w:sz w:val="22"/>
        </w:rPr>
        <w:t xml:space="preserve">sodium-hydrogen exchanger 1 </w:t>
      </w:r>
      <w:r w:rsidRPr="003427A6">
        <w:rPr>
          <w:rFonts w:ascii="Candara" w:hAnsi="Candara" w:cs="Arial"/>
          <w:sz w:val="22"/>
        </w:rPr>
        <w:t>channel</w:t>
      </w:r>
      <w:r w:rsidR="00503324" w:rsidRPr="003427A6">
        <w:rPr>
          <w:rFonts w:ascii="Candara" w:hAnsi="Candara" w:cs="Arial"/>
          <w:sz w:val="22"/>
        </w:rPr>
        <w:t>. Glucose was used as a negative control. EMPA=empagliflozin; DAPA=dapagliflozin; CANA=canagliflozin. Adapted from Uthman et al.</w:t>
      </w:r>
      <w:r w:rsidR="003A6436" w:rsidRPr="003427A6">
        <w:rPr>
          <w:rFonts w:ascii="Candara" w:hAnsi="Candara" w:cs="Arial"/>
          <w:sz w:val="22"/>
          <w:vertAlign w:val="superscript"/>
        </w:rPr>
        <w:fldChar w:fldCharType="begin"/>
      </w:r>
      <w:r w:rsidR="003A6436" w:rsidRPr="003427A6">
        <w:rPr>
          <w:rFonts w:ascii="Candara" w:hAnsi="Candara" w:cs="Arial"/>
          <w:sz w:val="22"/>
          <w:vertAlign w:val="superscript"/>
        </w:rPr>
        <w:instrText xml:space="preserve"> NOTEREF _Ref531947969 \h  \* MERGEFORMAT </w:instrText>
      </w:r>
      <w:r w:rsidR="003A6436" w:rsidRPr="003427A6">
        <w:rPr>
          <w:rFonts w:ascii="Candara" w:hAnsi="Candara" w:cs="Arial"/>
          <w:sz w:val="22"/>
          <w:vertAlign w:val="superscript"/>
        </w:rPr>
      </w:r>
      <w:r w:rsidR="003A6436" w:rsidRPr="003427A6">
        <w:rPr>
          <w:rFonts w:ascii="Candara" w:hAnsi="Candara" w:cs="Arial"/>
          <w:sz w:val="22"/>
          <w:vertAlign w:val="superscript"/>
        </w:rPr>
        <w:fldChar w:fldCharType="separate"/>
      </w:r>
      <w:r w:rsidR="003A6436" w:rsidRPr="003427A6">
        <w:rPr>
          <w:rFonts w:ascii="Candara" w:hAnsi="Candara" w:cs="Arial"/>
          <w:sz w:val="22"/>
          <w:vertAlign w:val="superscript"/>
        </w:rPr>
        <w:t>58</w:t>
      </w:r>
      <w:r w:rsidR="003A6436" w:rsidRPr="003427A6">
        <w:rPr>
          <w:rFonts w:ascii="Candara" w:hAnsi="Candara" w:cs="Arial"/>
          <w:sz w:val="22"/>
          <w:vertAlign w:val="superscript"/>
        </w:rPr>
        <w:fldChar w:fldCharType="end"/>
      </w:r>
    </w:p>
    <w:p w14:paraId="25D91A96" w14:textId="55B29EA2" w:rsidR="00661951" w:rsidRPr="003427A6" w:rsidRDefault="00661951" w:rsidP="009C0FDA">
      <w:pPr>
        <w:spacing w:line="360" w:lineRule="auto"/>
        <w:rPr>
          <w:rFonts w:ascii="Candara" w:hAnsi="Candara" w:cs="Arial"/>
          <w:sz w:val="22"/>
        </w:rPr>
      </w:pPr>
    </w:p>
    <w:p w14:paraId="469EEB07" w14:textId="3DC7621A" w:rsidR="00661951" w:rsidRPr="003427A6" w:rsidRDefault="003427A6" w:rsidP="009C0FDA">
      <w:pPr>
        <w:spacing w:line="360" w:lineRule="auto"/>
        <w:rPr>
          <w:rFonts w:ascii="Candara" w:hAnsi="Candara" w:cs="Arial"/>
          <w:b/>
          <w:sz w:val="22"/>
        </w:rPr>
      </w:pPr>
      <w:r w:rsidRPr="003427A6">
        <w:rPr>
          <w:rFonts w:ascii="Candara" w:hAnsi="Candara" w:cs="Arial"/>
          <w:b/>
          <w:noProof/>
          <w:sz w:val="22"/>
          <w:lang w:eastAsia="zh-CN"/>
        </w:rPr>
        <w:lastRenderedPageBreak/>
        <w:drawing>
          <wp:inline distT="0" distB="0" distL="0" distR="0" wp14:anchorId="35073160" wp14:editId="6C0AA29F">
            <wp:extent cx="5239379" cy="3570136"/>
            <wp:effectExtent l="0" t="0" r="0" b="0"/>
            <wp:docPr id="5" name="图片 5" descr="C:\Users\wangyun_fb\Desktop\2.article图\RCM 201804021\Figur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angyun_fb\Desktop\2.article图\RCM 201804021\Figure 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1886" cy="3585472"/>
                    </a:xfrm>
                    <a:prstGeom prst="rect">
                      <a:avLst/>
                    </a:prstGeom>
                    <a:noFill/>
                    <a:ln>
                      <a:noFill/>
                    </a:ln>
                  </pic:spPr>
                </pic:pic>
              </a:graphicData>
            </a:graphic>
          </wp:inline>
        </w:drawing>
      </w:r>
    </w:p>
    <w:p w14:paraId="31FBECB1" w14:textId="4EE9081A" w:rsidR="003561D3" w:rsidRPr="003427A6" w:rsidRDefault="00FE6A20" w:rsidP="00FC4CE1">
      <w:pPr>
        <w:spacing w:line="360" w:lineRule="auto"/>
        <w:rPr>
          <w:rFonts w:ascii="Candara" w:hAnsi="Candara" w:cs="Arial"/>
          <w:sz w:val="22"/>
        </w:rPr>
      </w:pPr>
      <w:r w:rsidRPr="003427A6">
        <w:rPr>
          <w:rFonts w:ascii="Candara" w:hAnsi="Candara" w:cs="Arial"/>
          <w:b/>
          <w:sz w:val="22"/>
        </w:rPr>
        <w:t xml:space="preserve">Figure </w:t>
      </w:r>
      <w:r w:rsidR="00661951" w:rsidRPr="003427A6">
        <w:rPr>
          <w:rFonts w:ascii="Candara" w:hAnsi="Candara" w:cs="Arial"/>
          <w:b/>
          <w:sz w:val="22"/>
        </w:rPr>
        <w:t>5</w:t>
      </w:r>
      <w:r w:rsidRPr="003427A6">
        <w:rPr>
          <w:rFonts w:ascii="Candara" w:hAnsi="Candara" w:cs="Arial"/>
          <w:b/>
          <w:sz w:val="22"/>
        </w:rPr>
        <w:t xml:space="preserve">.  </w:t>
      </w:r>
      <w:r w:rsidRPr="003427A6">
        <w:rPr>
          <w:rFonts w:ascii="Candara" w:hAnsi="Candara" w:cs="Arial"/>
          <w:sz w:val="22"/>
        </w:rPr>
        <w:t xml:space="preserve">Inhibition of sodium-proton antiporters in the heart, kidney, bone, and peripheral tissues account for cardiorenal benefit as well as the known serious adverse effects of </w:t>
      </w:r>
      <w:r w:rsidR="00720634" w:rsidRPr="003427A6">
        <w:rPr>
          <w:rFonts w:ascii="Candara" w:hAnsi="Candara" w:cs="Arial"/>
          <w:sz w:val="22"/>
        </w:rPr>
        <w:t>sodium glucose co-transporter 2 inhibitors</w:t>
      </w:r>
      <w:r w:rsidR="00125C13" w:rsidRPr="003427A6">
        <w:rPr>
          <w:rFonts w:ascii="Candara" w:hAnsi="Candara" w:cs="Arial"/>
          <w:sz w:val="22"/>
        </w:rPr>
        <w:t>. NHE=sodium-hydrogen exchanger.</w:t>
      </w:r>
    </w:p>
    <w:sectPr w:rsidR="003561D3" w:rsidRPr="003427A6" w:rsidSect="00760B0D">
      <w:footerReference w:type="even" r:id="rId13"/>
      <w:footerReference w:type="default" r:id="rId14"/>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9D2ED" w14:textId="77777777" w:rsidR="00A40B67" w:rsidRDefault="00A40B67" w:rsidP="00D42BE9">
      <w:r>
        <w:separator/>
      </w:r>
    </w:p>
  </w:endnote>
  <w:endnote w:type="continuationSeparator" w:id="0">
    <w:p w14:paraId="7B3275ED" w14:textId="77777777" w:rsidR="00A40B67" w:rsidRDefault="00A40B67" w:rsidP="00D42BE9">
      <w:r>
        <w:continuationSeparator/>
      </w:r>
    </w:p>
  </w:endnote>
  <w:endnote w:id="1">
    <w:p w14:paraId="07B0ECD4" w14:textId="57285B75" w:rsidR="00623475" w:rsidRPr="003427A6" w:rsidRDefault="00623475">
      <w:pPr>
        <w:pStyle w:val="af6"/>
      </w:pPr>
      <w:r w:rsidRPr="003427A6">
        <w:rPr>
          <w:rStyle w:val="af8"/>
        </w:rPr>
        <w:endnoteRef/>
      </w:r>
      <w:r w:rsidRPr="003427A6">
        <w:t xml:space="preserve"> WHO. Global Report on Diabetes. 2016; http://apps.who.int/iris/bitstream/10665/204871/1/9789241565257_eng.pdf?ua=1, Accessed December 20, 2016.</w:t>
      </w:r>
    </w:p>
  </w:endnote>
  <w:endnote w:id="2">
    <w:p w14:paraId="0A2E17C8" w14:textId="556D2E67" w:rsidR="00623475" w:rsidRPr="003427A6" w:rsidRDefault="00623475">
      <w:pPr>
        <w:pStyle w:val="af6"/>
      </w:pPr>
      <w:r w:rsidRPr="003427A6">
        <w:rPr>
          <w:rStyle w:val="af8"/>
        </w:rPr>
        <w:endnoteRef/>
      </w:r>
      <w:r w:rsidRPr="003427A6">
        <w:t xml:space="preserve"> Mozaffarian D, Benjamin EJ, Go AS, Arnett DK, Blaha MJ, Cushman M, Das SR, de Ferranti S, Despres JP, Fullerton HJ, Howard VJ, Huffman MD, Isasi CR, Jimenez MC, Judd SE, Kissela BM, Lichtman JH, Lisabeth LD, Liu S, Mackey RH, Magid DJ, McGuire DK, Mohler ER, 3rd, Moy CS, Muntner P, Mussolino ME, Nasir K, Neumar RW, Nichol G, Palaniappan L, Pandey DK, Reeves MJ, Rodriguez CJ, Rosamond W, Sorlie PD, Stein J, Towfighi A, Turan TN, Virani SS, Woo D, Yeh RW and Turner MB. Heart Disease and Stroke Statistics-2016 Update: A Report From the American Heart Association. Circulation. 2016;133:e38-360.</w:t>
      </w:r>
    </w:p>
  </w:endnote>
  <w:endnote w:id="3">
    <w:p w14:paraId="78A519B2" w14:textId="34609269" w:rsidR="00623475" w:rsidRPr="003427A6" w:rsidRDefault="00623475">
      <w:pPr>
        <w:pStyle w:val="af6"/>
      </w:pPr>
      <w:r w:rsidRPr="003427A6">
        <w:rPr>
          <w:rStyle w:val="af8"/>
        </w:rPr>
        <w:endnoteRef/>
      </w:r>
      <w:r w:rsidRPr="003427A6">
        <w:t xml:space="preserve"> Ray KK, Seshasai SR, Wijesuriya S, Sivakumaran R, Nethercott S, Preiss D, Erqou S and Sattar N. Effect of intensive control of glucose on cardiovascular outcomes and death in patients with diabetes mellitus: a meta-analysis of randomised controlled trials. Lancet. 2009;373:1765-72.</w:t>
      </w:r>
    </w:p>
  </w:endnote>
  <w:endnote w:id="4">
    <w:p w14:paraId="5F7ED36E" w14:textId="2DDD5CC8" w:rsidR="00623475" w:rsidRPr="003427A6" w:rsidRDefault="00623475">
      <w:pPr>
        <w:pStyle w:val="af6"/>
      </w:pPr>
      <w:r w:rsidRPr="003427A6">
        <w:rPr>
          <w:rStyle w:val="af8"/>
        </w:rPr>
        <w:endnoteRef/>
      </w:r>
      <w:r w:rsidRPr="003427A6">
        <w:t xml:space="preserve"> Fitchett DH, Udell JA and Inzucchi SE. Heart failure outcomes in clinical trials of glucose-lowering agents in patients with diabetes. Eur J Heart Fail. 2017;19:43-53.</w:t>
      </w:r>
    </w:p>
  </w:endnote>
  <w:endnote w:id="5">
    <w:p w14:paraId="26AFFAA0" w14:textId="31207FC4" w:rsidR="00623475" w:rsidRPr="003427A6" w:rsidRDefault="00623475">
      <w:pPr>
        <w:pStyle w:val="af6"/>
      </w:pPr>
      <w:r w:rsidRPr="003427A6">
        <w:rPr>
          <w:rStyle w:val="af8"/>
        </w:rPr>
        <w:endnoteRef/>
      </w:r>
      <w:r w:rsidRPr="003427A6">
        <w:t xml:space="preserve"> Lloyd-Jones DM, Larson MG, Leip EP, Beiser A, D'Agostino RB, Kannel WB, Murabito JM, Vasan RS, Benjamin EJ and Levy D. Lifetime risk for developing congestive heart failure: the Framingham Heart Study. Circulation. 2002;106:3068-72.</w:t>
      </w:r>
    </w:p>
  </w:endnote>
  <w:endnote w:id="6">
    <w:p w14:paraId="31179A66" w14:textId="387738AC" w:rsidR="00623475" w:rsidRPr="003427A6" w:rsidRDefault="00623475">
      <w:pPr>
        <w:pStyle w:val="af6"/>
        <w:rPr>
          <w:color w:val="FF0000"/>
        </w:rPr>
      </w:pPr>
      <w:r w:rsidRPr="003427A6">
        <w:rPr>
          <w:rStyle w:val="af8"/>
          <w:color w:val="FF0000"/>
        </w:rPr>
        <w:endnoteRef/>
      </w:r>
      <w:r w:rsidRPr="003427A6">
        <w:rPr>
          <w:color w:val="FF0000"/>
        </w:rPr>
        <w:t xml:space="preserve"> Owan TE, Hodge DO, Herges RM, Jacobsen SJ, Roger VL and Redfield MM. Trends in prevalence and outcome of heart failure with preserved ejection fraction. The New England journal of medicine. 2006;355:251-9.</w:t>
      </w:r>
    </w:p>
  </w:endnote>
  <w:endnote w:id="7">
    <w:p w14:paraId="2B30F60D" w14:textId="77777777" w:rsidR="00623475" w:rsidRPr="003427A6" w:rsidRDefault="00623475" w:rsidP="00F92265">
      <w:pPr>
        <w:pStyle w:val="af6"/>
        <w:rPr>
          <w:color w:val="FF0000"/>
        </w:rPr>
      </w:pPr>
      <w:r w:rsidRPr="003427A6">
        <w:rPr>
          <w:rStyle w:val="af8"/>
        </w:rPr>
        <w:endnoteRef/>
      </w:r>
      <w:r w:rsidRPr="003427A6">
        <w:t xml:space="preserve"> </w:t>
      </w:r>
      <w:r w:rsidRPr="003427A6">
        <w:rPr>
          <w:color w:val="FF0000"/>
        </w:rPr>
        <w:t>Owan TE, Hodge DO, Herges RM, Jacobsen SJ, Roger VL and Redfield MM. Trends in prevalence and outcome of heart failure with preserved ejection fraction. The New England journal of medicine. 2006;355:251-9.</w:t>
      </w:r>
    </w:p>
  </w:endnote>
  <w:endnote w:id="8">
    <w:p w14:paraId="105C229F" w14:textId="77777777" w:rsidR="00623475" w:rsidRPr="003427A6" w:rsidRDefault="00623475" w:rsidP="00F92265">
      <w:pPr>
        <w:pStyle w:val="af6"/>
      </w:pPr>
      <w:r w:rsidRPr="003427A6">
        <w:rPr>
          <w:rStyle w:val="af8"/>
        </w:rPr>
        <w:endnoteRef/>
      </w:r>
      <w:r w:rsidRPr="003427A6">
        <w:t xml:space="preserve"> Zelniker TA, Braunwald E. Cardiac and Renal Effects of Sodium-Glucose</w:t>
      </w:r>
    </w:p>
    <w:p w14:paraId="39A8F5B2" w14:textId="77777777" w:rsidR="00623475" w:rsidRPr="003427A6" w:rsidRDefault="00623475" w:rsidP="00F92265">
      <w:pPr>
        <w:pStyle w:val="af6"/>
      </w:pPr>
      <w:r w:rsidRPr="003427A6">
        <w:t xml:space="preserve">Co-Transporter 2 Inhibitors in Diabetes: JACC State-of-the-Art Review. J Am Coll </w:t>
      </w:r>
    </w:p>
    <w:p w14:paraId="21E66F87" w14:textId="77777777" w:rsidR="00623475" w:rsidRPr="003427A6" w:rsidRDefault="00623475" w:rsidP="00F92265">
      <w:pPr>
        <w:pStyle w:val="af6"/>
      </w:pPr>
      <w:r w:rsidRPr="003427A6">
        <w:t xml:space="preserve">Cardiol. 2018 Oct 9;72(15):1845-1855. doi: 10.1016/j.jacc.2018.06.040. Epub 2018 </w:t>
      </w:r>
    </w:p>
    <w:p w14:paraId="20515AEC" w14:textId="77777777" w:rsidR="00623475" w:rsidRPr="003427A6" w:rsidRDefault="00623475" w:rsidP="00F92265">
      <w:pPr>
        <w:pStyle w:val="af6"/>
      </w:pPr>
      <w:r w:rsidRPr="003427A6">
        <w:t>Jul 31. Review. PubMed PMID: 30075873.</w:t>
      </w:r>
    </w:p>
  </w:endnote>
  <w:endnote w:id="9">
    <w:p w14:paraId="0F25A713" w14:textId="77777777" w:rsidR="00623475" w:rsidRPr="003427A6" w:rsidRDefault="00623475" w:rsidP="00A94325">
      <w:pPr>
        <w:pStyle w:val="af6"/>
      </w:pPr>
      <w:r w:rsidRPr="003427A6">
        <w:rPr>
          <w:rStyle w:val="af8"/>
        </w:rPr>
        <w:endnoteRef/>
      </w:r>
      <w:r w:rsidRPr="003427A6">
        <w:t xml:space="preserve"> Armstrong DG, Boulton AJM, Bus SA. Diabetic Foot Ulcers and Their Recurrence. </w:t>
      </w:r>
    </w:p>
    <w:p w14:paraId="32874B16" w14:textId="77777777" w:rsidR="00623475" w:rsidRPr="003427A6" w:rsidRDefault="00623475" w:rsidP="00A94325">
      <w:pPr>
        <w:pStyle w:val="af6"/>
      </w:pPr>
      <w:r w:rsidRPr="003427A6">
        <w:t xml:space="preserve">N Engl J Med. 2017 Jun 15;376(24):2367-2375. doi: 10.1056/NEJMra1615439. Review. </w:t>
      </w:r>
    </w:p>
    <w:p w14:paraId="23A65534" w14:textId="0B5853E7" w:rsidR="00623475" w:rsidRPr="003427A6" w:rsidRDefault="00623475" w:rsidP="00A94325">
      <w:pPr>
        <w:pStyle w:val="af6"/>
      </w:pPr>
      <w:r w:rsidRPr="003427A6">
        <w:t>PubMed PMID: 28614678.</w:t>
      </w:r>
    </w:p>
  </w:endnote>
  <w:endnote w:id="10">
    <w:p w14:paraId="390A00EB" w14:textId="77777777" w:rsidR="00623475" w:rsidRPr="003427A6" w:rsidRDefault="00623475" w:rsidP="00A94325">
      <w:pPr>
        <w:pStyle w:val="af6"/>
      </w:pPr>
      <w:r w:rsidRPr="003427A6">
        <w:rPr>
          <w:rStyle w:val="af8"/>
        </w:rPr>
        <w:endnoteRef/>
      </w:r>
      <w:r w:rsidRPr="003427A6">
        <w:t xml:space="preserve"> Gilbert MP, Pratley RE. The impact of diabetes and diabetes medications on</w:t>
      </w:r>
    </w:p>
    <w:p w14:paraId="4FD20479" w14:textId="77777777" w:rsidR="00623475" w:rsidRPr="003427A6" w:rsidRDefault="00623475" w:rsidP="00A94325">
      <w:pPr>
        <w:pStyle w:val="af6"/>
      </w:pPr>
      <w:r w:rsidRPr="003427A6">
        <w:t xml:space="preserve">bone health. Endocr Rev. 2015 Apr;36(2):194-213. doi: 10.1210/er.2012-1042. Epub </w:t>
      </w:r>
    </w:p>
    <w:p w14:paraId="4BDDCDEF" w14:textId="47026C46" w:rsidR="00623475" w:rsidRPr="003427A6" w:rsidRDefault="00623475" w:rsidP="00A94325">
      <w:pPr>
        <w:pStyle w:val="af6"/>
      </w:pPr>
      <w:r w:rsidRPr="003427A6">
        <w:t>2015 Mar 4. Review. PubMed PMID: 25738213.</w:t>
      </w:r>
    </w:p>
  </w:endnote>
  <w:endnote w:id="11">
    <w:p w14:paraId="0C2FB23F" w14:textId="77777777" w:rsidR="00623475" w:rsidRPr="003427A6" w:rsidRDefault="00623475" w:rsidP="00431D02">
      <w:pPr>
        <w:pStyle w:val="af6"/>
      </w:pPr>
      <w:r w:rsidRPr="003427A6">
        <w:rPr>
          <w:rStyle w:val="af8"/>
        </w:rPr>
        <w:endnoteRef/>
      </w:r>
      <w:r w:rsidRPr="003427A6">
        <w:t xml:space="preserve"> Thomas MC, Tsalamandris C, MacIsaac RJ, Jerums G. The epidemiology of</w:t>
      </w:r>
    </w:p>
    <w:p w14:paraId="1CD5D928" w14:textId="77777777" w:rsidR="00623475" w:rsidRPr="003427A6" w:rsidRDefault="00623475" w:rsidP="00431D02">
      <w:pPr>
        <w:pStyle w:val="af6"/>
      </w:pPr>
      <w:r w:rsidRPr="003427A6">
        <w:t>hemoglobin levels in patients with type 2 diabetes. Am J Kidney Dis. 2006</w:t>
      </w:r>
    </w:p>
    <w:p w14:paraId="481693DF" w14:textId="52F884D5" w:rsidR="00623475" w:rsidRPr="003427A6" w:rsidRDefault="00623475" w:rsidP="00431D02">
      <w:pPr>
        <w:pStyle w:val="af6"/>
      </w:pPr>
      <w:r w:rsidRPr="003427A6">
        <w:t>Oct;48(4):537-45. PubMed PMID: 16997049.</w:t>
      </w:r>
    </w:p>
  </w:endnote>
  <w:endnote w:id="12">
    <w:p w14:paraId="24EA0A36" w14:textId="77777777" w:rsidR="00623475" w:rsidRPr="003427A6" w:rsidRDefault="00623475" w:rsidP="000C7DB1">
      <w:pPr>
        <w:pStyle w:val="af6"/>
      </w:pPr>
      <w:r w:rsidRPr="003427A6">
        <w:rPr>
          <w:rStyle w:val="af8"/>
        </w:rPr>
        <w:endnoteRef/>
      </w:r>
      <w:r w:rsidRPr="003427A6">
        <w:t xml:space="preserve"> Kaul S, Bolger AF, Herrington D, Giugliano RP, Eckel RH; American Heart</w:t>
      </w:r>
    </w:p>
    <w:p w14:paraId="419691F5" w14:textId="77777777" w:rsidR="00623475" w:rsidRPr="003427A6" w:rsidRDefault="00623475" w:rsidP="000C7DB1">
      <w:pPr>
        <w:pStyle w:val="af6"/>
      </w:pPr>
      <w:r w:rsidRPr="003427A6">
        <w:t>Association; American College Of Cardiology Foundation. Thiazolidinedione drugs</w:t>
      </w:r>
    </w:p>
    <w:p w14:paraId="486A43C3" w14:textId="77777777" w:rsidR="00623475" w:rsidRPr="003427A6" w:rsidRDefault="00623475" w:rsidP="000C7DB1">
      <w:pPr>
        <w:pStyle w:val="af6"/>
      </w:pPr>
      <w:r w:rsidRPr="003427A6">
        <w:t xml:space="preserve">and cardiovascular risks: a science advisory from the American Heart Association </w:t>
      </w:r>
    </w:p>
    <w:p w14:paraId="2FB66EED" w14:textId="77777777" w:rsidR="00623475" w:rsidRPr="003427A6" w:rsidRDefault="00623475" w:rsidP="000C7DB1">
      <w:pPr>
        <w:pStyle w:val="af6"/>
      </w:pPr>
      <w:r w:rsidRPr="003427A6">
        <w:t>and American College Of Cardiology Foundation. J Am Coll Cardiol. 2010 Apr</w:t>
      </w:r>
    </w:p>
    <w:p w14:paraId="1AD0E0AF" w14:textId="04CA40D5" w:rsidR="00623475" w:rsidRPr="003427A6" w:rsidRDefault="00623475" w:rsidP="000C7DB1">
      <w:pPr>
        <w:pStyle w:val="af6"/>
      </w:pPr>
      <w:r w:rsidRPr="003427A6">
        <w:t>27;55(17):1885-94. doi: 10.1016/j.jacc.2010.02.014. PubMed PMID: 20413044.</w:t>
      </w:r>
    </w:p>
  </w:endnote>
  <w:endnote w:id="13">
    <w:p w14:paraId="294829E3" w14:textId="260D6D77" w:rsidR="00623475" w:rsidRPr="003427A6" w:rsidRDefault="00623475">
      <w:pPr>
        <w:pStyle w:val="af6"/>
      </w:pPr>
      <w:r w:rsidRPr="003427A6">
        <w:rPr>
          <w:rStyle w:val="af8"/>
        </w:rPr>
        <w:endnoteRef/>
      </w:r>
      <w:r w:rsidRPr="003427A6">
        <w:t xml:space="preserve"> Home PD, Pocock SJ, Beck-Nielsen H, Curtis PS, Gomis R, Hanefeld M, Jones NP, Komajda M and McMurray JJ. Rosiglitazone evaluated for cardiovascular outcomes in oral agent combination therapy for type 2 diabetes (RECORD): a multicentre, randomised, open-label trial. Lancet. 2009;373:2125-35.</w:t>
      </w:r>
    </w:p>
  </w:endnote>
  <w:endnote w:id="14">
    <w:p w14:paraId="7D2F22A8" w14:textId="40DBB46C" w:rsidR="00623475" w:rsidRPr="003427A6" w:rsidRDefault="00623475">
      <w:pPr>
        <w:pStyle w:val="af6"/>
      </w:pPr>
      <w:r w:rsidRPr="003427A6">
        <w:rPr>
          <w:rStyle w:val="af8"/>
        </w:rPr>
        <w:endnoteRef/>
      </w:r>
      <w:r w:rsidRPr="003427A6">
        <w:t xml:space="preserve"> Lincoff AM, Wolski K, Nicholls SJ and Nissen SE. Pioglitazone and risk of cardiovascular events in patients with type 2 diabetes mellitus: a meta-analysis of randomized trials. Jama. 2007;298:1180-8.</w:t>
      </w:r>
    </w:p>
  </w:endnote>
  <w:endnote w:id="15">
    <w:p w14:paraId="7C1172A6" w14:textId="77777777" w:rsidR="00623475" w:rsidRPr="003427A6" w:rsidRDefault="00623475" w:rsidP="00B7779A">
      <w:pPr>
        <w:pStyle w:val="af6"/>
      </w:pPr>
      <w:r w:rsidRPr="003427A6">
        <w:rPr>
          <w:rStyle w:val="af8"/>
        </w:rPr>
        <w:endnoteRef/>
      </w:r>
      <w:r w:rsidRPr="003427A6">
        <w:t xml:space="preserve"> Douros A, Dell'Aniello S, Yu OHY, Filion KB, Azoulay L, Suissa S.</w:t>
      </w:r>
    </w:p>
    <w:p w14:paraId="446836F3" w14:textId="77777777" w:rsidR="00623475" w:rsidRPr="003427A6" w:rsidRDefault="00623475" w:rsidP="00B7779A">
      <w:pPr>
        <w:pStyle w:val="af6"/>
      </w:pPr>
      <w:r w:rsidRPr="003427A6">
        <w:t>Sulfonylureas as second line drugs in type 2 diabetes and the risk of</w:t>
      </w:r>
    </w:p>
    <w:p w14:paraId="6D10F0CD" w14:textId="77777777" w:rsidR="00623475" w:rsidRPr="003427A6" w:rsidRDefault="00623475" w:rsidP="00B7779A">
      <w:pPr>
        <w:pStyle w:val="af6"/>
      </w:pPr>
      <w:r w:rsidRPr="003427A6">
        <w:t>cardiovascular and hypoglycaemic events: population based cohort study. BMJ. 2018</w:t>
      </w:r>
    </w:p>
    <w:p w14:paraId="3DF2D139" w14:textId="77777777" w:rsidR="00623475" w:rsidRPr="003427A6" w:rsidRDefault="00623475" w:rsidP="00B7779A">
      <w:pPr>
        <w:pStyle w:val="af6"/>
      </w:pPr>
      <w:r w:rsidRPr="003427A6">
        <w:t>Jul 18;362:k2693. doi: 10.1136/bmj.k2693. PubMed PMID: 30021781; PubMed Central</w:t>
      </w:r>
    </w:p>
    <w:p w14:paraId="0BB13AD8" w14:textId="27514F26" w:rsidR="00623475" w:rsidRPr="003427A6" w:rsidRDefault="00623475" w:rsidP="00B7779A">
      <w:pPr>
        <w:pStyle w:val="af6"/>
      </w:pPr>
      <w:r w:rsidRPr="003427A6">
        <w:t>PMCID: PMC6050517.</w:t>
      </w:r>
    </w:p>
  </w:endnote>
  <w:endnote w:id="16">
    <w:p w14:paraId="33CC9CEF" w14:textId="77777777" w:rsidR="00623475" w:rsidRPr="003427A6" w:rsidRDefault="00623475" w:rsidP="00B7779A">
      <w:pPr>
        <w:pStyle w:val="af6"/>
      </w:pPr>
      <w:r w:rsidRPr="003427A6">
        <w:rPr>
          <w:rStyle w:val="af8"/>
        </w:rPr>
        <w:endnoteRef/>
      </w:r>
      <w:r w:rsidRPr="003427A6">
        <w:t xml:space="preserve"> Powell WR, Christiansen CL, Miller DR. Meta-Analysis of Sulfonylurea Therapy</w:t>
      </w:r>
    </w:p>
    <w:p w14:paraId="4BAD42F5" w14:textId="77777777" w:rsidR="00623475" w:rsidRPr="003427A6" w:rsidRDefault="00623475" w:rsidP="00B7779A">
      <w:pPr>
        <w:pStyle w:val="af6"/>
      </w:pPr>
      <w:r w:rsidRPr="003427A6">
        <w:t>on Long-Term Risk of Mortality and Cardiovascular Events Compared to Other Oral</w:t>
      </w:r>
    </w:p>
    <w:p w14:paraId="50EE8B71" w14:textId="77777777" w:rsidR="00623475" w:rsidRPr="003427A6" w:rsidRDefault="00623475" w:rsidP="00B7779A">
      <w:pPr>
        <w:pStyle w:val="af6"/>
      </w:pPr>
      <w:r w:rsidRPr="003427A6">
        <w:t>Glucose-Lowering Treatments. Diabetes Ther. 2018 Aug;9(4):1431-1440. doi:</w:t>
      </w:r>
    </w:p>
    <w:p w14:paraId="6A68511B" w14:textId="77777777" w:rsidR="00623475" w:rsidRPr="003427A6" w:rsidRDefault="00623475" w:rsidP="00B7779A">
      <w:pPr>
        <w:pStyle w:val="af6"/>
      </w:pPr>
      <w:r w:rsidRPr="003427A6">
        <w:t>10.1007/s13300-018-0443-z. Epub 2018 May 28. Review. PubMed PMID: 29808360;</w:t>
      </w:r>
    </w:p>
    <w:p w14:paraId="46A84DCD" w14:textId="3EFC5798" w:rsidR="00623475" w:rsidRPr="003427A6" w:rsidRDefault="00623475" w:rsidP="00B7779A">
      <w:pPr>
        <w:pStyle w:val="af6"/>
      </w:pPr>
      <w:r w:rsidRPr="003427A6">
        <w:t>PubMed Central PMCID: PMC6064594.</w:t>
      </w:r>
    </w:p>
  </w:endnote>
  <w:endnote w:id="17">
    <w:p w14:paraId="4DF2883C" w14:textId="77777777" w:rsidR="00623475" w:rsidRPr="003427A6" w:rsidRDefault="00623475" w:rsidP="00B7779A">
      <w:pPr>
        <w:pStyle w:val="af6"/>
      </w:pPr>
      <w:r w:rsidRPr="003427A6">
        <w:rPr>
          <w:rStyle w:val="af8"/>
        </w:rPr>
        <w:endnoteRef/>
      </w:r>
      <w:r w:rsidRPr="003427A6">
        <w:t xml:space="preserve"> Li L, Shen J, Bala MM, Busse JW, Ebrahim S, Vandvik PO, Rios LP, Malaga G,</w:t>
      </w:r>
    </w:p>
    <w:p w14:paraId="6C615656" w14:textId="77777777" w:rsidR="00623475" w:rsidRPr="003427A6" w:rsidRDefault="00623475" w:rsidP="00B7779A">
      <w:pPr>
        <w:pStyle w:val="af6"/>
      </w:pPr>
      <w:r w:rsidRPr="003427A6">
        <w:t>Wong E, Sohani Z, Guyatt GH, Sun X. Incretin treatment and risk of pancreatitis</w:t>
      </w:r>
    </w:p>
    <w:p w14:paraId="6D3A1AB3" w14:textId="77777777" w:rsidR="00623475" w:rsidRPr="003427A6" w:rsidRDefault="00623475" w:rsidP="00B7779A">
      <w:pPr>
        <w:pStyle w:val="af6"/>
      </w:pPr>
      <w:r w:rsidRPr="003427A6">
        <w:t>in patients with type 2 diabetes mellitus: systematic review and meta-analysis of</w:t>
      </w:r>
    </w:p>
    <w:p w14:paraId="691F2FCC" w14:textId="77777777" w:rsidR="00623475" w:rsidRPr="003427A6" w:rsidRDefault="00623475" w:rsidP="00B7779A">
      <w:pPr>
        <w:pStyle w:val="af6"/>
      </w:pPr>
      <w:r w:rsidRPr="003427A6">
        <w:t>randomised and non-randomised studies. BMJ. 2014 Apr 15;348:g2366. doi:</w:t>
      </w:r>
    </w:p>
    <w:p w14:paraId="6C799F2A" w14:textId="77777777" w:rsidR="00623475" w:rsidRPr="003427A6" w:rsidRDefault="00623475" w:rsidP="00B7779A">
      <w:pPr>
        <w:pStyle w:val="af6"/>
      </w:pPr>
      <w:r w:rsidRPr="003427A6">
        <w:t>10.1136/bmj.g2366. Review. PubMed PMID: 24736555; PubMed Central PMCID:</w:t>
      </w:r>
    </w:p>
    <w:p w14:paraId="025844C1" w14:textId="10DC0A58" w:rsidR="00623475" w:rsidRPr="003427A6" w:rsidRDefault="00623475" w:rsidP="00B7779A">
      <w:pPr>
        <w:pStyle w:val="af6"/>
      </w:pPr>
      <w:r w:rsidRPr="003427A6">
        <w:t>PMC3987051.</w:t>
      </w:r>
    </w:p>
  </w:endnote>
  <w:endnote w:id="18">
    <w:p w14:paraId="312F524F" w14:textId="77777777" w:rsidR="00623475" w:rsidRPr="003427A6" w:rsidRDefault="00623475" w:rsidP="003519E4">
      <w:pPr>
        <w:pStyle w:val="af6"/>
      </w:pPr>
      <w:r w:rsidRPr="003427A6">
        <w:rPr>
          <w:rStyle w:val="af8"/>
        </w:rPr>
        <w:endnoteRef/>
      </w:r>
      <w:r w:rsidRPr="003427A6">
        <w:t xml:space="preserve"> Kaneko M, Narukawa M. Assessment of the Risk of Hospitalization for Heart</w:t>
      </w:r>
    </w:p>
    <w:p w14:paraId="7F756D0C" w14:textId="77777777" w:rsidR="00623475" w:rsidRPr="003427A6" w:rsidRDefault="00623475" w:rsidP="003519E4">
      <w:pPr>
        <w:pStyle w:val="af6"/>
      </w:pPr>
      <w:r w:rsidRPr="003427A6">
        <w:t>Failure With Dipeptidyl Peptidase-4 Inhibitors, Saxagliptin, Alogliptin, and</w:t>
      </w:r>
    </w:p>
    <w:p w14:paraId="56E56915" w14:textId="77777777" w:rsidR="00623475" w:rsidRPr="003427A6" w:rsidRDefault="00623475" w:rsidP="003519E4">
      <w:pPr>
        <w:pStyle w:val="af6"/>
      </w:pPr>
      <w:r w:rsidRPr="003427A6">
        <w:t>Sitagliptin in Patients With Type 2 Diabetes, Using an Alternative Measure to the</w:t>
      </w:r>
    </w:p>
    <w:p w14:paraId="39FD310E" w14:textId="77777777" w:rsidR="00623475" w:rsidRPr="003427A6" w:rsidRDefault="00623475" w:rsidP="003519E4">
      <w:pPr>
        <w:pStyle w:val="af6"/>
      </w:pPr>
      <w:r w:rsidRPr="003427A6">
        <w:t>Hazard Ratio. Ann Pharmacother. 2017 Jul;51(7):570-576. doi:</w:t>
      </w:r>
    </w:p>
    <w:p w14:paraId="6DB9BAB3" w14:textId="414FCB8A" w:rsidR="00623475" w:rsidRPr="003427A6" w:rsidRDefault="00623475" w:rsidP="003519E4">
      <w:pPr>
        <w:pStyle w:val="af6"/>
      </w:pPr>
      <w:r w:rsidRPr="003427A6">
        <w:t>10.1177/1060028017698496. Epub 2017 Mar 1. PubMed PMID: 28622738.</w:t>
      </w:r>
    </w:p>
  </w:endnote>
  <w:endnote w:id="19">
    <w:p w14:paraId="5C35EB3D" w14:textId="27C2FEC0" w:rsidR="00623475" w:rsidRPr="003427A6" w:rsidRDefault="00623475">
      <w:pPr>
        <w:pStyle w:val="af6"/>
      </w:pPr>
      <w:r w:rsidRPr="003427A6">
        <w:rPr>
          <w:rStyle w:val="af8"/>
        </w:rPr>
        <w:endnoteRef/>
      </w:r>
      <w:r w:rsidRPr="003427A6">
        <w:t xml:space="preserve"> McMurray JJ, Gerstein HC, Holman RR and Pfeffer MA. Heart failure: a cardiovascular outcome in diabetes that can no longer be ignored. Lancet Diabetes Endocrinol. 2014;2:843-51.</w:t>
      </w:r>
    </w:p>
  </w:endnote>
  <w:endnote w:id="20">
    <w:p w14:paraId="1A9E7ECB" w14:textId="77777777" w:rsidR="00623475" w:rsidRPr="003427A6" w:rsidRDefault="00623475" w:rsidP="008C4178">
      <w:pPr>
        <w:pStyle w:val="af6"/>
      </w:pPr>
      <w:r w:rsidRPr="003427A6">
        <w:rPr>
          <w:rStyle w:val="af8"/>
        </w:rPr>
        <w:endnoteRef/>
      </w:r>
      <w:r w:rsidRPr="003427A6">
        <w:t xml:space="preserve"> Guidance for Industry Diabetes Mellitus — Evaluating Cardiovascular Risk in New</w:t>
      </w:r>
    </w:p>
    <w:p w14:paraId="758F20D5" w14:textId="77777777" w:rsidR="00623475" w:rsidRPr="003427A6" w:rsidRDefault="00623475" w:rsidP="008C4178">
      <w:pPr>
        <w:pStyle w:val="af6"/>
      </w:pPr>
      <w:r w:rsidRPr="003427A6">
        <w:t>Antidiabetic Therapies to Treat Type 2 Diabetes.  U.S. Department of Health and Human Services</w:t>
      </w:r>
    </w:p>
    <w:p w14:paraId="7BA1B888" w14:textId="5CBC6633" w:rsidR="00623475" w:rsidRPr="003427A6" w:rsidRDefault="00623475" w:rsidP="008C4178">
      <w:pPr>
        <w:pStyle w:val="af6"/>
      </w:pPr>
      <w:r w:rsidRPr="003427A6">
        <w:t>Food and Drug Administration Center for Drug Evaluation and Research (CDER)</w:t>
      </w:r>
    </w:p>
    <w:p w14:paraId="1BA76795" w14:textId="0631265B" w:rsidR="00623475" w:rsidRPr="003427A6" w:rsidRDefault="00623475" w:rsidP="008C4178">
      <w:pPr>
        <w:pStyle w:val="af6"/>
      </w:pPr>
      <w:r w:rsidRPr="003427A6">
        <w:t>December 2008</w:t>
      </w:r>
    </w:p>
  </w:endnote>
  <w:endnote w:id="21">
    <w:p w14:paraId="3CDEB52D" w14:textId="77777777" w:rsidR="00623475" w:rsidRPr="003427A6" w:rsidRDefault="00623475" w:rsidP="001000FB">
      <w:pPr>
        <w:pStyle w:val="af6"/>
      </w:pPr>
      <w:r w:rsidRPr="003427A6">
        <w:rPr>
          <w:rStyle w:val="af8"/>
        </w:rPr>
        <w:endnoteRef/>
      </w:r>
      <w:r w:rsidRPr="003427A6">
        <w:t xml:space="preserve"> Zannad F, Stough WG, Lipicky RJ, Tamargo J, Bakris GL, Borer JS, Alonso García</w:t>
      </w:r>
    </w:p>
    <w:p w14:paraId="46D946C1" w14:textId="77777777" w:rsidR="00623475" w:rsidRPr="003427A6" w:rsidRDefault="00623475" w:rsidP="001000FB">
      <w:pPr>
        <w:pStyle w:val="af6"/>
      </w:pPr>
      <w:r w:rsidRPr="003427A6">
        <w:t>Mde L, Hadjadj S, Koenig W, Kupfer S, McCullough PA, Mosenzon O, Pocock S, Scheen</w:t>
      </w:r>
    </w:p>
    <w:p w14:paraId="187C37ED" w14:textId="77777777" w:rsidR="00623475" w:rsidRPr="003427A6" w:rsidRDefault="00623475" w:rsidP="001000FB">
      <w:pPr>
        <w:pStyle w:val="af6"/>
      </w:pPr>
      <w:r w:rsidRPr="003427A6">
        <w:t>AJ, Sourij H, Van der Schueren B, Stahre C, White WB, Calvo G. Assessment of</w:t>
      </w:r>
    </w:p>
    <w:p w14:paraId="707A4275" w14:textId="77777777" w:rsidR="00623475" w:rsidRPr="003427A6" w:rsidRDefault="00623475" w:rsidP="001000FB">
      <w:pPr>
        <w:pStyle w:val="af6"/>
      </w:pPr>
      <w:r w:rsidRPr="003427A6">
        <w:t>cardiovascular risk of new drugs for the treatment of diabetes mellitus: risk</w:t>
      </w:r>
    </w:p>
    <w:p w14:paraId="1D5467A9" w14:textId="77777777" w:rsidR="00623475" w:rsidRPr="003427A6" w:rsidRDefault="00623475" w:rsidP="001000FB">
      <w:pPr>
        <w:pStyle w:val="af6"/>
      </w:pPr>
      <w:r w:rsidRPr="003427A6">
        <w:t>assessment vs. risk aversion. Eur Heart J Cardiovasc Pharmacother. 2016</w:t>
      </w:r>
    </w:p>
    <w:p w14:paraId="4A197A43" w14:textId="77777777" w:rsidR="00623475" w:rsidRPr="003427A6" w:rsidRDefault="00623475" w:rsidP="001000FB">
      <w:pPr>
        <w:pStyle w:val="af6"/>
      </w:pPr>
      <w:r w:rsidRPr="003427A6">
        <w:t>Jul;2(3):200-5. doi: 10.1093/ehjcvp/pvw007. Epub 2016 Apr 3. Review. PubMed PMID:</w:t>
      </w:r>
    </w:p>
    <w:p w14:paraId="61894755" w14:textId="4E743B33" w:rsidR="00623475" w:rsidRPr="003427A6" w:rsidRDefault="00623475" w:rsidP="001000FB">
      <w:pPr>
        <w:pStyle w:val="af6"/>
      </w:pPr>
      <w:r w:rsidRPr="003427A6">
        <w:t>27418973; PubMed Central PMCID: PMC4907355.</w:t>
      </w:r>
    </w:p>
  </w:endnote>
  <w:endnote w:id="22">
    <w:p w14:paraId="278AFE86" w14:textId="77777777" w:rsidR="00623475" w:rsidRPr="003427A6" w:rsidRDefault="00623475" w:rsidP="00F92265">
      <w:pPr>
        <w:pStyle w:val="af6"/>
      </w:pPr>
      <w:r w:rsidRPr="003427A6">
        <w:rPr>
          <w:rStyle w:val="af8"/>
        </w:rPr>
        <w:endnoteRef/>
      </w:r>
      <w:r w:rsidRPr="003427A6">
        <w:t xml:space="preserve"> Writing Committee, Das SR, Everett BM, Birtcher KK, Brown JM, Cefalu WT,</w:t>
      </w:r>
    </w:p>
    <w:p w14:paraId="1A5325FC" w14:textId="77777777" w:rsidR="00623475" w:rsidRPr="003427A6" w:rsidRDefault="00623475" w:rsidP="00F92265">
      <w:pPr>
        <w:pStyle w:val="af6"/>
      </w:pPr>
      <w:r w:rsidRPr="003427A6">
        <w:t>Januzzi JL Jr, Rastogi Kalyani R, Kosiborod M, Magwire ML, Morris PB, Sperling</w:t>
      </w:r>
    </w:p>
    <w:p w14:paraId="02E4FD15" w14:textId="77777777" w:rsidR="00623475" w:rsidRPr="003427A6" w:rsidRDefault="00623475" w:rsidP="00F92265">
      <w:pPr>
        <w:pStyle w:val="af6"/>
      </w:pPr>
      <w:r w:rsidRPr="003427A6">
        <w:t>LS. 2018 ACC Expert Consensus Decision Pathway on Novel Therapies for</w:t>
      </w:r>
    </w:p>
    <w:p w14:paraId="25CDBB83" w14:textId="77777777" w:rsidR="00623475" w:rsidRPr="003427A6" w:rsidRDefault="00623475" w:rsidP="00F92265">
      <w:pPr>
        <w:pStyle w:val="af6"/>
      </w:pPr>
      <w:r w:rsidRPr="003427A6">
        <w:t>Cardiovascular Risk Reduction in Patients With Type 2 Diabetes and</w:t>
      </w:r>
    </w:p>
    <w:p w14:paraId="609F62DD" w14:textId="77777777" w:rsidR="00623475" w:rsidRPr="003427A6" w:rsidRDefault="00623475" w:rsidP="00F92265">
      <w:pPr>
        <w:pStyle w:val="af6"/>
      </w:pPr>
      <w:r w:rsidRPr="003427A6">
        <w:t>Atherosclerotic Cardiovascular Disease: A Report of the American College of</w:t>
      </w:r>
    </w:p>
    <w:p w14:paraId="5DA093B2" w14:textId="77777777" w:rsidR="00623475" w:rsidRPr="003427A6" w:rsidRDefault="00623475" w:rsidP="00F92265">
      <w:pPr>
        <w:pStyle w:val="af6"/>
      </w:pPr>
      <w:r w:rsidRPr="003427A6">
        <w:t>Cardiology Task Force on Expert Consensus Decision Pathways. J Am Coll Cardiol.</w:t>
      </w:r>
    </w:p>
    <w:p w14:paraId="744F0494" w14:textId="77777777" w:rsidR="00623475" w:rsidRPr="003427A6" w:rsidRDefault="00623475" w:rsidP="00F92265">
      <w:pPr>
        <w:pStyle w:val="af6"/>
      </w:pPr>
      <w:r w:rsidRPr="003427A6">
        <w:t>2018 Nov 24. pii: S0735-1097(18)38498-5. doi: 10.1016/j.jacc.2018.09.020. [Epub</w:t>
      </w:r>
    </w:p>
    <w:p w14:paraId="166F97B5" w14:textId="77777777" w:rsidR="00623475" w:rsidRPr="003427A6" w:rsidRDefault="00623475" w:rsidP="00F92265">
      <w:pPr>
        <w:pStyle w:val="af6"/>
      </w:pPr>
      <w:r w:rsidRPr="003427A6">
        <w:t>ahead of print] PubMed PMID: 30497881.</w:t>
      </w:r>
    </w:p>
  </w:endnote>
  <w:endnote w:id="23">
    <w:p w14:paraId="5008AE5D" w14:textId="77777777" w:rsidR="00623475" w:rsidRPr="003427A6" w:rsidRDefault="00623475" w:rsidP="00B106AB">
      <w:pPr>
        <w:pStyle w:val="af6"/>
      </w:pPr>
      <w:r w:rsidRPr="003427A6">
        <w:rPr>
          <w:rStyle w:val="af8"/>
        </w:rPr>
        <w:endnoteRef/>
      </w:r>
      <w:r w:rsidRPr="003427A6">
        <w:t xml:space="preserve"> Ueda P, Svanström H, Melbye M, Eliasson B, Svensson AM, Franzén S,</w:t>
      </w:r>
    </w:p>
    <w:p w14:paraId="781618DF" w14:textId="77777777" w:rsidR="00623475" w:rsidRPr="003427A6" w:rsidRDefault="00623475" w:rsidP="00B106AB">
      <w:pPr>
        <w:pStyle w:val="af6"/>
      </w:pPr>
      <w:r w:rsidRPr="003427A6">
        <w:t>Gudbjörnsdottir S, Hveem K, Jonasson C, Pasternak B. Sodium glucose cotransporter</w:t>
      </w:r>
    </w:p>
    <w:p w14:paraId="02C52338" w14:textId="77777777" w:rsidR="00623475" w:rsidRPr="003427A6" w:rsidRDefault="00623475" w:rsidP="00B106AB">
      <w:pPr>
        <w:pStyle w:val="af6"/>
      </w:pPr>
      <w:r w:rsidRPr="003427A6">
        <w:t>2 inhibitors and risk of serious adverse events: nationwide register based cohort</w:t>
      </w:r>
    </w:p>
    <w:p w14:paraId="5FE4C6BA" w14:textId="77777777" w:rsidR="00623475" w:rsidRPr="003427A6" w:rsidRDefault="00623475" w:rsidP="00B106AB">
      <w:pPr>
        <w:pStyle w:val="af6"/>
      </w:pPr>
      <w:r w:rsidRPr="003427A6">
        <w:t>study. BMJ. 2018 Nov 14;363:k4365. doi: 10.1136/bmj.k4365. PubMed PMID: 30429124;</w:t>
      </w:r>
    </w:p>
    <w:p w14:paraId="66A8ADEE" w14:textId="77777777" w:rsidR="00623475" w:rsidRPr="003427A6" w:rsidRDefault="00623475" w:rsidP="00B106AB">
      <w:pPr>
        <w:pStyle w:val="af6"/>
      </w:pPr>
      <w:r w:rsidRPr="003427A6">
        <w:t>PubMed Central PMCID: PMC6233755.</w:t>
      </w:r>
    </w:p>
  </w:endnote>
  <w:endnote w:id="24">
    <w:p w14:paraId="71B44C33" w14:textId="336B34E5" w:rsidR="006F7FB5" w:rsidRPr="003427A6" w:rsidRDefault="006F7FB5">
      <w:pPr>
        <w:pStyle w:val="af6"/>
      </w:pPr>
      <w:r w:rsidRPr="003427A6">
        <w:rPr>
          <w:rStyle w:val="af8"/>
        </w:rPr>
        <w:endnoteRef/>
      </w:r>
      <w:r w:rsidRPr="003427A6">
        <w:t xml:space="preserve"> https://www.ema.europa.eu/en/medicines/human/referrals/sglt2-inhibitors-previously-canagliflozin</w:t>
      </w:r>
    </w:p>
  </w:endnote>
  <w:endnote w:id="25">
    <w:p w14:paraId="6E2C1E93" w14:textId="5FA06947" w:rsidR="00623475" w:rsidRPr="003427A6" w:rsidRDefault="00623475">
      <w:pPr>
        <w:pStyle w:val="af6"/>
      </w:pPr>
      <w:r w:rsidRPr="003427A6">
        <w:rPr>
          <w:rStyle w:val="af8"/>
        </w:rPr>
        <w:endnoteRef/>
      </w:r>
      <w:r w:rsidRPr="003427A6">
        <w:t xml:space="preserve"> Zinman B, Wanner C, Lachin JM, Fitchett D, Bluhmki E, Hantel S, Mattheus M, Devins T, Johansen OE and Woerle HJ. Empagliflozin, cardiovascular outcomes, and mortality in type 2 diabetes. The New England journal of medicine. 2015;373:2117-28.</w:t>
      </w:r>
    </w:p>
  </w:endnote>
  <w:endnote w:id="26">
    <w:p w14:paraId="56516ABA" w14:textId="4148AA53" w:rsidR="00623475" w:rsidRPr="003427A6" w:rsidRDefault="00623475">
      <w:pPr>
        <w:pStyle w:val="af6"/>
      </w:pPr>
      <w:r w:rsidRPr="003427A6">
        <w:rPr>
          <w:rStyle w:val="af8"/>
        </w:rPr>
        <w:endnoteRef/>
      </w:r>
      <w:r w:rsidRPr="003427A6">
        <w:t xml:space="preserve"> Fitchett D, Zinman B, Wanner C, Lachin JM, Hantel S, Salsali A, Johansen OE, Woerle HJ, Broedl UC and Inzucchi SE. Heart failure outcomes with empagliflozin in patients with type 2 diabetes at high cardiovascular risk: results of the EMPA-REG OUTCOME(R) trial. Eur Heart J. 2016;37:1526-34.</w:t>
      </w:r>
    </w:p>
  </w:endnote>
  <w:endnote w:id="27">
    <w:p w14:paraId="7F810FA9" w14:textId="77777777" w:rsidR="00623475" w:rsidRPr="003427A6" w:rsidRDefault="00623475" w:rsidP="001000FB">
      <w:pPr>
        <w:pStyle w:val="af6"/>
      </w:pPr>
      <w:r w:rsidRPr="003427A6">
        <w:rPr>
          <w:rStyle w:val="af8"/>
        </w:rPr>
        <w:endnoteRef/>
      </w:r>
      <w:r w:rsidRPr="003427A6">
        <w:t xml:space="preserve"> Cherney DZI, Cooper ME, Tikkanen I, Pfarr E, Johansen OE, Woerle HJ, Broedl</w:t>
      </w:r>
    </w:p>
    <w:p w14:paraId="1542BDD5" w14:textId="77777777" w:rsidR="00623475" w:rsidRPr="003427A6" w:rsidRDefault="00623475" w:rsidP="001000FB">
      <w:pPr>
        <w:pStyle w:val="af6"/>
      </w:pPr>
      <w:r w:rsidRPr="003427A6">
        <w:t xml:space="preserve">UC, Lund SS. Pooled analysis of Phase III trials indicate contrasting influences </w:t>
      </w:r>
    </w:p>
    <w:p w14:paraId="3C795C89" w14:textId="77777777" w:rsidR="00623475" w:rsidRPr="003427A6" w:rsidRDefault="00623475" w:rsidP="001000FB">
      <w:pPr>
        <w:pStyle w:val="af6"/>
      </w:pPr>
      <w:r w:rsidRPr="003427A6">
        <w:t>of renal function on blood pressure, body weight, and HbA1c reductions with</w:t>
      </w:r>
    </w:p>
    <w:p w14:paraId="16DFCA8A" w14:textId="77777777" w:rsidR="00623475" w:rsidRPr="003427A6" w:rsidRDefault="00623475" w:rsidP="001000FB">
      <w:pPr>
        <w:pStyle w:val="af6"/>
      </w:pPr>
      <w:r w:rsidRPr="003427A6">
        <w:t>empagliflozin. Kidney Int. 2018 Jan;93(1):231-244. doi:</w:t>
      </w:r>
    </w:p>
    <w:p w14:paraId="1C6BD16A" w14:textId="2269D0A6" w:rsidR="00623475" w:rsidRPr="003427A6" w:rsidRDefault="00623475" w:rsidP="001000FB">
      <w:pPr>
        <w:pStyle w:val="af6"/>
      </w:pPr>
      <w:r w:rsidRPr="003427A6">
        <w:t>10.1016/j.kint.2017.06.017. Epub 2017 Aug 30. PubMed PMID: 28860019.</w:t>
      </w:r>
    </w:p>
  </w:endnote>
  <w:endnote w:id="28">
    <w:p w14:paraId="53E6280B" w14:textId="7A60F92E" w:rsidR="00623475" w:rsidRPr="003427A6" w:rsidRDefault="00623475">
      <w:pPr>
        <w:pStyle w:val="af6"/>
      </w:pPr>
      <w:r w:rsidRPr="003427A6">
        <w:rPr>
          <w:rStyle w:val="af8"/>
        </w:rPr>
        <w:endnoteRef/>
      </w:r>
      <w:r w:rsidRPr="003427A6">
        <w:t xml:space="preserve"> Neal B, Perkovic V, Zeeuw D, Mahaffey KW, Fulcher G, Stein P, Desai M, Shaw W, Jiang J and Vercruysse F. Rationale, design, and baseline characteristics of the Canagliflozin cardiovascular assessment study (CANVAS)–a randomized placebo-controlled trial. Am Heart J. 2013;166:217-223.</w:t>
      </w:r>
    </w:p>
  </w:endnote>
  <w:endnote w:id="29">
    <w:p w14:paraId="6DF3C331" w14:textId="77777777" w:rsidR="00623475" w:rsidRPr="003427A6" w:rsidRDefault="00623475" w:rsidP="00EA0C65">
      <w:pPr>
        <w:pStyle w:val="af6"/>
      </w:pPr>
      <w:r w:rsidRPr="003427A6">
        <w:rPr>
          <w:rStyle w:val="af8"/>
        </w:rPr>
        <w:endnoteRef/>
      </w:r>
      <w:r w:rsidRPr="003427A6">
        <w:t xml:space="preserve"> Neal B, Perkovic V, Mahaffey KW, de Zeeuw D, Fulcher G, Erondu N, Shaw W, Law </w:t>
      </w:r>
    </w:p>
    <w:p w14:paraId="3B942CC1" w14:textId="77777777" w:rsidR="00623475" w:rsidRPr="003427A6" w:rsidRDefault="00623475" w:rsidP="00EA0C65">
      <w:pPr>
        <w:pStyle w:val="af6"/>
      </w:pPr>
      <w:r w:rsidRPr="003427A6">
        <w:t>G, Desai M, Matthews DR; CANVAS Program Collaborative Group. Canagliflozin and</w:t>
      </w:r>
    </w:p>
    <w:p w14:paraId="3E85CEFE" w14:textId="77777777" w:rsidR="00623475" w:rsidRPr="003427A6" w:rsidRDefault="00623475" w:rsidP="00EA0C65">
      <w:pPr>
        <w:pStyle w:val="af6"/>
      </w:pPr>
      <w:r w:rsidRPr="003427A6">
        <w:t>Cardiovascular and Renal Events in Type 2 Diabetes. N Engl J Med. 2017 Aug</w:t>
      </w:r>
    </w:p>
    <w:p w14:paraId="2E62A8D0" w14:textId="77777777" w:rsidR="00623475" w:rsidRPr="003427A6" w:rsidRDefault="00623475" w:rsidP="00EA0C65">
      <w:pPr>
        <w:pStyle w:val="af6"/>
      </w:pPr>
      <w:r w:rsidRPr="003427A6">
        <w:t>17;377(7):644-657. doi: 10.1056/NEJMoa1611925. Epub 2017 Jun 12. PubMed PMID:</w:t>
      </w:r>
    </w:p>
    <w:p w14:paraId="10093F3A" w14:textId="19F2F26E" w:rsidR="00623475" w:rsidRPr="003427A6" w:rsidRDefault="00623475" w:rsidP="00EA0C65">
      <w:pPr>
        <w:pStyle w:val="af6"/>
      </w:pPr>
      <w:r w:rsidRPr="003427A6">
        <w:t>28605608.</w:t>
      </w:r>
    </w:p>
  </w:endnote>
  <w:endnote w:id="30">
    <w:p w14:paraId="661BDD69" w14:textId="77777777" w:rsidR="00623475" w:rsidRPr="003427A6" w:rsidRDefault="00623475" w:rsidP="00EA0C65">
      <w:pPr>
        <w:pStyle w:val="af6"/>
      </w:pPr>
      <w:r w:rsidRPr="003427A6">
        <w:rPr>
          <w:rStyle w:val="af8"/>
        </w:rPr>
        <w:endnoteRef/>
      </w:r>
      <w:r w:rsidRPr="003427A6">
        <w:t xml:space="preserve"> Rådholm K, Figtree G, Perkovic V, Solomon SD, Mahaffey KW, de Zeeuw D, Fulcher</w:t>
      </w:r>
    </w:p>
    <w:p w14:paraId="560A0199" w14:textId="77777777" w:rsidR="00623475" w:rsidRPr="003427A6" w:rsidRDefault="00623475" w:rsidP="00EA0C65">
      <w:pPr>
        <w:pStyle w:val="af6"/>
      </w:pPr>
      <w:r w:rsidRPr="003427A6">
        <w:t>G, Barrett TD, Shaw W, Desai M, Matthews DR, Neal B. Canagliflozin and Heart</w:t>
      </w:r>
    </w:p>
    <w:p w14:paraId="58EC3F78" w14:textId="77777777" w:rsidR="00623475" w:rsidRPr="003427A6" w:rsidRDefault="00623475" w:rsidP="00EA0C65">
      <w:pPr>
        <w:pStyle w:val="af6"/>
      </w:pPr>
      <w:r w:rsidRPr="003427A6">
        <w:t>Failure in Type 2 Diabetes Mellitus: Results From the CANVAS Program</w:t>
      </w:r>
    </w:p>
    <w:p w14:paraId="7A4BC637" w14:textId="77777777" w:rsidR="00623475" w:rsidRPr="003427A6" w:rsidRDefault="00623475" w:rsidP="00EA0C65">
      <w:pPr>
        <w:pStyle w:val="af6"/>
      </w:pPr>
      <w:r w:rsidRPr="003427A6">
        <w:t>(Canagliflozin Cardiovascular Assessment Study). Circulation. 2018 Mar 11. pii:</w:t>
      </w:r>
    </w:p>
    <w:p w14:paraId="48003433" w14:textId="77777777" w:rsidR="00623475" w:rsidRPr="003427A6" w:rsidRDefault="00623475" w:rsidP="00EA0C65">
      <w:pPr>
        <w:pStyle w:val="af6"/>
      </w:pPr>
      <w:r w:rsidRPr="003427A6">
        <w:t>CIRCULATIONAHA.118.034222. doi: 10.1161/CIRCULATIONAHA.118.034222. [Epub ahead of</w:t>
      </w:r>
    </w:p>
    <w:p w14:paraId="7565A7C6" w14:textId="4ADF6B0F" w:rsidR="00623475" w:rsidRPr="003427A6" w:rsidRDefault="00623475" w:rsidP="00EA0C65">
      <w:pPr>
        <w:pStyle w:val="af6"/>
      </w:pPr>
      <w:r w:rsidRPr="003427A6">
        <w:t>print] PubMed PMID: 29526832; PubMed Central PMCID: PMC6075881.</w:t>
      </w:r>
    </w:p>
  </w:endnote>
  <w:endnote w:id="31">
    <w:p w14:paraId="0C946DB3" w14:textId="77777777" w:rsidR="00623475" w:rsidRPr="003427A6" w:rsidRDefault="00623475" w:rsidP="002C67E6">
      <w:pPr>
        <w:pStyle w:val="af6"/>
      </w:pPr>
      <w:r w:rsidRPr="003427A6">
        <w:rPr>
          <w:rStyle w:val="af8"/>
        </w:rPr>
        <w:endnoteRef/>
      </w:r>
      <w:r w:rsidRPr="003427A6">
        <w:t xml:space="preserve"> Wiviott SD, Raz I, Bonaca MP, Mosenzon O, Kato ET, Cahn A, Silverman MG,</w:t>
      </w:r>
    </w:p>
    <w:p w14:paraId="35411E01" w14:textId="77777777" w:rsidR="00623475" w:rsidRPr="003427A6" w:rsidRDefault="00623475" w:rsidP="002C67E6">
      <w:pPr>
        <w:pStyle w:val="af6"/>
      </w:pPr>
      <w:r w:rsidRPr="003427A6">
        <w:t>Zelniker TA, Kuder JF, Murphy SA, Bhatt DL, Leiter LA, McGuire DK, Wilding JPH,</w:t>
      </w:r>
    </w:p>
    <w:p w14:paraId="1E28EC20" w14:textId="77777777" w:rsidR="00623475" w:rsidRPr="003427A6" w:rsidRDefault="00623475" w:rsidP="002C67E6">
      <w:pPr>
        <w:pStyle w:val="af6"/>
      </w:pPr>
      <w:r w:rsidRPr="003427A6">
        <w:t>Ruff CT, Gause-Nilsson IAM, Fredriksson M, Johansson PA, Langkilde AM, Sabatine</w:t>
      </w:r>
    </w:p>
    <w:p w14:paraId="22F74059" w14:textId="77777777" w:rsidR="00623475" w:rsidRPr="003427A6" w:rsidRDefault="00623475" w:rsidP="002C67E6">
      <w:pPr>
        <w:pStyle w:val="af6"/>
      </w:pPr>
      <w:r w:rsidRPr="003427A6">
        <w:t>MS; DECLARE–TIMI 58 Investigators. Dapagliflozin and Cardiovascular Outcomes in</w:t>
      </w:r>
    </w:p>
    <w:p w14:paraId="026C5D12" w14:textId="77777777" w:rsidR="00623475" w:rsidRPr="003427A6" w:rsidRDefault="00623475" w:rsidP="002C67E6">
      <w:pPr>
        <w:pStyle w:val="af6"/>
      </w:pPr>
      <w:r w:rsidRPr="003427A6">
        <w:t>Type 2 Diabetes. N Engl J Med. 2018 Nov 10. doi: 10.1056/NEJMoa1812389. [Epub</w:t>
      </w:r>
    </w:p>
    <w:p w14:paraId="4822EEDA" w14:textId="123B1AA3" w:rsidR="00623475" w:rsidRPr="003427A6" w:rsidRDefault="00623475" w:rsidP="002C67E6">
      <w:pPr>
        <w:pStyle w:val="af6"/>
      </w:pPr>
      <w:r w:rsidRPr="003427A6">
        <w:t>ahead of print] PubMed PMID: 30415602.</w:t>
      </w:r>
    </w:p>
  </w:endnote>
  <w:endnote w:id="32">
    <w:p w14:paraId="0FAE6FB6" w14:textId="77777777" w:rsidR="00623475" w:rsidRPr="003427A6" w:rsidRDefault="00623475" w:rsidP="009C5F88">
      <w:pPr>
        <w:pStyle w:val="af6"/>
      </w:pPr>
      <w:r w:rsidRPr="003427A6">
        <w:rPr>
          <w:rStyle w:val="af8"/>
        </w:rPr>
        <w:endnoteRef/>
      </w:r>
      <w:r w:rsidRPr="003427A6">
        <w:t xml:space="preserve"> Kosiborod M, Cavender MA, Fu AZ, Wilding JP, Khunti K, Holl RW, Norhammar A,</w:t>
      </w:r>
    </w:p>
    <w:p w14:paraId="320043D4" w14:textId="77777777" w:rsidR="00623475" w:rsidRPr="003427A6" w:rsidRDefault="00623475" w:rsidP="009C5F88">
      <w:pPr>
        <w:pStyle w:val="af6"/>
      </w:pPr>
      <w:r w:rsidRPr="003427A6">
        <w:t xml:space="preserve">Birkeland KI, Jørgensen ME, Thuresson M, Arya N, Bodegård J, Hammar N, Fenici P; </w:t>
      </w:r>
    </w:p>
    <w:p w14:paraId="4F36E405" w14:textId="77777777" w:rsidR="00623475" w:rsidRPr="003427A6" w:rsidRDefault="00623475" w:rsidP="009C5F88">
      <w:pPr>
        <w:pStyle w:val="af6"/>
      </w:pPr>
      <w:r w:rsidRPr="003427A6">
        <w:t>CVD-REAL Investigators and Study Group*. Lower Risk of Heart Failure and Death in</w:t>
      </w:r>
    </w:p>
    <w:p w14:paraId="07D68304" w14:textId="77777777" w:rsidR="00623475" w:rsidRPr="003427A6" w:rsidRDefault="00623475" w:rsidP="009C5F88">
      <w:pPr>
        <w:pStyle w:val="af6"/>
      </w:pPr>
      <w:r w:rsidRPr="003427A6">
        <w:t>Patients Initiated on Sodium-Glucose Cotransporter-2 Inhibitors Versus Other</w:t>
      </w:r>
    </w:p>
    <w:p w14:paraId="4B6CD2D8" w14:textId="77777777" w:rsidR="00623475" w:rsidRPr="003427A6" w:rsidRDefault="00623475" w:rsidP="009C5F88">
      <w:pPr>
        <w:pStyle w:val="af6"/>
      </w:pPr>
      <w:r w:rsidRPr="003427A6">
        <w:t>Glucose-Lowering Drugs: The CVD-REAL Study (Comparative Effectiveness of</w:t>
      </w:r>
    </w:p>
    <w:p w14:paraId="28E1909F" w14:textId="77777777" w:rsidR="00623475" w:rsidRPr="003427A6" w:rsidRDefault="00623475" w:rsidP="009C5F88">
      <w:pPr>
        <w:pStyle w:val="af6"/>
      </w:pPr>
      <w:r w:rsidRPr="003427A6">
        <w:t>Cardiovascular Outcomes in New Users of Sodium-Glucose Cotransporter-2</w:t>
      </w:r>
    </w:p>
    <w:p w14:paraId="7075E9AB" w14:textId="77777777" w:rsidR="00623475" w:rsidRPr="003427A6" w:rsidRDefault="00623475" w:rsidP="009C5F88">
      <w:pPr>
        <w:pStyle w:val="af6"/>
      </w:pPr>
      <w:r w:rsidRPr="003427A6">
        <w:t>Inhibitors). Circulation. 2017 Jul 18;136(3):249-259. doi:</w:t>
      </w:r>
    </w:p>
    <w:p w14:paraId="76923104" w14:textId="77777777" w:rsidR="00623475" w:rsidRPr="003427A6" w:rsidRDefault="00623475" w:rsidP="009C5F88">
      <w:pPr>
        <w:pStyle w:val="af6"/>
      </w:pPr>
      <w:r w:rsidRPr="003427A6">
        <w:t>10.1161/CIRCULATIONAHA.117.029190. Epub 2017 May 18. PubMed PMID: 28522450;</w:t>
      </w:r>
    </w:p>
    <w:p w14:paraId="1DF28C49" w14:textId="616F55DF" w:rsidR="00623475" w:rsidRPr="003427A6" w:rsidRDefault="00623475" w:rsidP="009C5F88">
      <w:pPr>
        <w:pStyle w:val="af6"/>
      </w:pPr>
      <w:r w:rsidRPr="003427A6">
        <w:t>PubMed Central PMCID: PMC5515629.</w:t>
      </w:r>
    </w:p>
  </w:endnote>
  <w:endnote w:id="33">
    <w:p w14:paraId="6BE0A611" w14:textId="77777777" w:rsidR="00623475" w:rsidRPr="003427A6" w:rsidRDefault="00623475" w:rsidP="009F3744">
      <w:pPr>
        <w:pStyle w:val="af6"/>
      </w:pPr>
      <w:r w:rsidRPr="003427A6">
        <w:rPr>
          <w:rStyle w:val="af8"/>
        </w:rPr>
        <w:endnoteRef/>
      </w:r>
      <w:r w:rsidRPr="003427A6">
        <w:t xml:space="preserve"> Kosiborod M, Lam CSP, Kohsaka S, Kim DJ, Karasik A, Shaw J, Tangri N, Goh SY, </w:t>
      </w:r>
    </w:p>
    <w:p w14:paraId="244FD24A" w14:textId="77777777" w:rsidR="00623475" w:rsidRPr="003427A6" w:rsidRDefault="00623475" w:rsidP="009F3744">
      <w:pPr>
        <w:pStyle w:val="af6"/>
      </w:pPr>
      <w:r w:rsidRPr="003427A6">
        <w:t>Thuresson M, Chen H, Surmont F, Hammar N, Fenici P; CVD-REAL Investigators and</w:t>
      </w:r>
    </w:p>
    <w:p w14:paraId="25431AF4" w14:textId="77777777" w:rsidR="00623475" w:rsidRPr="003427A6" w:rsidRDefault="00623475" w:rsidP="009F3744">
      <w:pPr>
        <w:pStyle w:val="af6"/>
      </w:pPr>
      <w:r w:rsidRPr="003427A6">
        <w:t>Study Group. Cardiovascular Events Associated With SGLT-2 Inhibitors Versus Other</w:t>
      </w:r>
    </w:p>
    <w:p w14:paraId="1A6DD3B7" w14:textId="77777777" w:rsidR="00623475" w:rsidRPr="003427A6" w:rsidRDefault="00623475" w:rsidP="009F3744">
      <w:pPr>
        <w:pStyle w:val="af6"/>
      </w:pPr>
      <w:r w:rsidRPr="003427A6">
        <w:t>Glucose-Lowering Drugs: The CVD-REAL 2 Study. J Am Coll Cardiol. 2018 Jun</w:t>
      </w:r>
    </w:p>
    <w:p w14:paraId="025FDB7E" w14:textId="77777777" w:rsidR="00623475" w:rsidRPr="003427A6" w:rsidRDefault="00623475" w:rsidP="009F3744">
      <w:pPr>
        <w:pStyle w:val="af6"/>
      </w:pPr>
      <w:r w:rsidRPr="003427A6">
        <w:t>12;71(23):2628-2639. doi: 10.1016/j.jacc.2018.03.009. Epub 2018 Mar 11. PubMed</w:t>
      </w:r>
    </w:p>
    <w:p w14:paraId="748898CD" w14:textId="3274133E" w:rsidR="00623475" w:rsidRPr="003427A6" w:rsidRDefault="00623475" w:rsidP="009F3744">
      <w:pPr>
        <w:pStyle w:val="af6"/>
      </w:pPr>
      <w:r w:rsidRPr="003427A6">
        <w:t>PMID: 29540325.</w:t>
      </w:r>
    </w:p>
  </w:endnote>
  <w:endnote w:id="34">
    <w:p w14:paraId="752EA951" w14:textId="3B34A200" w:rsidR="00623475" w:rsidRPr="003427A6" w:rsidRDefault="00623475">
      <w:pPr>
        <w:pStyle w:val="af6"/>
      </w:pPr>
      <w:r w:rsidRPr="003427A6">
        <w:rPr>
          <w:rStyle w:val="af8"/>
        </w:rPr>
        <w:endnoteRef/>
      </w:r>
      <w:r w:rsidRPr="003427A6">
        <w:t xml:space="preserve"> Heerspink HJ, Perkins BA, Fitchett DH, Husain M and Cherney DZ. Sodium Glucose Cotransporter 2 Inhibitors in the Treatment of Diabetes Mellitus: Cardiovascular and Kidney Effects, Potential Mechanisms, and Clinical Applications. Circulation. 2016;134:752-72.</w:t>
      </w:r>
    </w:p>
  </w:endnote>
  <w:endnote w:id="35">
    <w:p w14:paraId="03F07544" w14:textId="72406D16" w:rsidR="00623475" w:rsidRPr="003427A6" w:rsidRDefault="00623475">
      <w:pPr>
        <w:pStyle w:val="af6"/>
      </w:pPr>
      <w:r w:rsidRPr="003427A6">
        <w:rPr>
          <w:rStyle w:val="af8"/>
        </w:rPr>
        <w:endnoteRef/>
      </w:r>
      <w:r w:rsidRPr="003427A6">
        <w:t xml:space="preserve"> Nauck MA. Update on developments with SGLT2 inhibitors in the management of type 2 diabetes. Drug Des Devel Ther. 2014;8:1335-80.</w:t>
      </w:r>
    </w:p>
  </w:endnote>
  <w:endnote w:id="36">
    <w:p w14:paraId="1CD462F9" w14:textId="681C0CE3" w:rsidR="00623475" w:rsidRPr="003427A6" w:rsidRDefault="00623475">
      <w:pPr>
        <w:pStyle w:val="af6"/>
      </w:pPr>
      <w:r w:rsidRPr="003427A6">
        <w:rPr>
          <w:rStyle w:val="af8"/>
        </w:rPr>
        <w:endnoteRef/>
      </w:r>
      <w:r w:rsidRPr="003427A6">
        <w:t xml:space="preserve"> Baker WL, Smyth LR, Riche DM, Bourret EM, Chamberlin KW and White WB. Effects of sodium-glucose co-transporter 2 inhibitors on blood pressure: a systematic review and meta-analysis. J Am Soc Hypertens. 2014;8:262-75.e9.</w:t>
      </w:r>
    </w:p>
  </w:endnote>
  <w:endnote w:id="37">
    <w:p w14:paraId="3BC31DC6" w14:textId="79305F37" w:rsidR="00623475" w:rsidRPr="003427A6" w:rsidRDefault="00623475">
      <w:pPr>
        <w:pStyle w:val="af6"/>
      </w:pPr>
      <w:r w:rsidRPr="003427A6">
        <w:rPr>
          <w:rStyle w:val="af8"/>
        </w:rPr>
        <w:endnoteRef/>
      </w:r>
      <w:r w:rsidRPr="003427A6">
        <w:t xml:space="preserve"> Cherney DZ, Perkins BA, Soleymanlou N, Har R, Fagan N, Johansen OE, Woerle HJ, von Eynatten M and Broedl UC. The effect of empagliflozin on arterial stiffness and heart rate variability in subjects with uncomplicated type 1 diabetes mellitus. Cardiovasc Diabetol. 2014;13:28.</w:t>
      </w:r>
    </w:p>
  </w:endnote>
  <w:endnote w:id="38">
    <w:p w14:paraId="7FBE9E0C" w14:textId="054981FF" w:rsidR="00623475" w:rsidRPr="003427A6" w:rsidRDefault="00623475">
      <w:pPr>
        <w:pStyle w:val="af6"/>
      </w:pPr>
      <w:r w:rsidRPr="003427A6">
        <w:rPr>
          <w:rStyle w:val="af8"/>
        </w:rPr>
        <w:endnoteRef/>
      </w:r>
      <w:r w:rsidRPr="003427A6">
        <w:t xml:space="preserve"> Inzucchi SE, Zinman B, Wanner C, Ferrari R, Fitchett D, Hantel S, Espadero RM, Woerle HJ, Broedl UC and Johansen OE. SGLT-2 inhibitors and cardiovascular risk: proposed pathways and review of ongoing outcome trials. Diab Vasc Dis Res. 2015;12:90-100.</w:t>
      </w:r>
    </w:p>
  </w:endnote>
  <w:endnote w:id="39">
    <w:p w14:paraId="32F10460" w14:textId="77777777" w:rsidR="00623475" w:rsidRPr="003427A6" w:rsidRDefault="00623475" w:rsidP="00066EF6">
      <w:pPr>
        <w:pStyle w:val="af6"/>
      </w:pPr>
      <w:r w:rsidRPr="003427A6">
        <w:rPr>
          <w:rStyle w:val="af8"/>
        </w:rPr>
        <w:endnoteRef/>
      </w:r>
      <w:r w:rsidRPr="003427A6">
        <w:t xml:space="preserve"> Brouwer TF, Vehmeijer JT, Kalkman DN, Berger WR, van den Born BH, Peters RJ,</w:t>
      </w:r>
    </w:p>
    <w:p w14:paraId="6341B19D" w14:textId="77777777" w:rsidR="00623475" w:rsidRPr="003427A6" w:rsidRDefault="00623475" w:rsidP="00066EF6">
      <w:pPr>
        <w:pStyle w:val="af6"/>
      </w:pPr>
      <w:r w:rsidRPr="003427A6">
        <w:t>Knops RE. Intensive Blood Pressure Lowering in Patients With and Patients Without</w:t>
      </w:r>
    </w:p>
    <w:p w14:paraId="6A47AC99" w14:textId="77777777" w:rsidR="00623475" w:rsidRPr="003427A6" w:rsidRDefault="00623475" w:rsidP="00066EF6">
      <w:pPr>
        <w:pStyle w:val="af6"/>
      </w:pPr>
      <w:r w:rsidRPr="003427A6">
        <w:t>Type 2 Diabetes: A Pooled Analysis From Two Randomized Trials. Diabetes Care.</w:t>
      </w:r>
    </w:p>
    <w:p w14:paraId="5AB55E3E" w14:textId="77777777" w:rsidR="00623475" w:rsidRPr="003427A6" w:rsidRDefault="00623475" w:rsidP="00066EF6">
      <w:pPr>
        <w:pStyle w:val="af6"/>
      </w:pPr>
      <w:r w:rsidRPr="003427A6">
        <w:t>2018 Jun;41(6):1142-1148. doi: 10.2337/dc17-1722. Epub 2017 Dec 6. PubMed PMID:</w:t>
      </w:r>
    </w:p>
    <w:p w14:paraId="2787E9FE" w14:textId="7AED699B" w:rsidR="00623475" w:rsidRPr="003427A6" w:rsidRDefault="00623475" w:rsidP="00066EF6">
      <w:pPr>
        <w:pStyle w:val="af6"/>
      </w:pPr>
      <w:r w:rsidRPr="003427A6">
        <w:t>29212825.</w:t>
      </w:r>
    </w:p>
  </w:endnote>
  <w:endnote w:id="40">
    <w:p w14:paraId="6468F6B7" w14:textId="5781975E" w:rsidR="00623475" w:rsidRPr="003427A6" w:rsidRDefault="00623475">
      <w:pPr>
        <w:pStyle w:val="af6"/>
      </w:pPr>
      <w:r w:rsidRPr="003427A6">
        <w:rPr>
          <w:rStyle w:val="af8"/>
        </w:rPr>
        <w:endnoteRef/>
      </w:r>
      <w:r w:rsidRPr="003427A6">
        <w:t xml:space="preserve">Cherney DZ, Perkins BA, Soleymanlou N, Maione M, Lai V, Lee A, Fagan NM, Woerle HJ, Johansen OE, Broedl UC and von Eynatten M. Renal hemodynamic effect of sodium-glucose cotransporter 2 inhibition in patients with type 1 diabetes mellitus. Circulation. 2014;129:587-97. </w:t>
      </w:r>
    </w:p>
  </w:endnote>
  <w:endnote w:id="41">
    <w:p w14:paraId="71A0ABF8" w14:textId="0F4B69A9" w:rsidR="00623475" w:rsidRPr="003427A6" w:rsidRDefault="00623475">
      <w:pPr>
        <w:pStyle w:val="af6"/>
      </w:pPr>
      <w:r w:rsidRPr="003427A6">
        <w:rPr>
          <w:rStyle w:val="af8"/>
        </w:rPr>
        <w:endnoteRef/>
      </w:r>
      <w:r w:rsidRPr="003427A6">
        <w:t xml:space="preserve"> Rajasekeran H, Lytvyn Y and Cherney DZ. Sodium-glucose cotransporter 2 inhibition and cardiovascular risk reduction in patients with type 2 diabetes: the emerging role of natriuresis. Kidney Int. 2016;89:524-6.</w:t>
      </w:r>
    </w:p>
  </w:endnote>
  <w:endnote w:id="42">
    <w:p w14:paraId="19928D67" w14:textId="52FC8F77" w:rsidR="00623475" w:rsidRPr="003427A6" w:rsidRDefault="00623475">
      <w:pPr>
        <w:pStyle w:val="af6"/>
      </w:pPr>
      <w:r w:rsidRPr="003427A6">
        <w:rPr>
          <w:rStyle w:val="af8"/>
        </w:rPr>
        <w:endnoteRef/>
      </w:r>
      <w:r w:rsidRPr="003427A6">
        <w:t xml:space="preserve"> Schmieder R, Ott C, Linz P, Jumar A, Friedrich S, Titze J, Hammon M, Uder M, Kistner I. OS 12-03 SGLT-2-inhibition with dapagliflozin reduces tissue sodium content. J Hypertens. 2016;34(suppl 1):ISH 2016 Abstract Book:e76.</w:t>
      </w:r>
    </w:p>
  </w:endnote>
  <w:endnote w:id="43">
    <w:p w14:paraId="22E1F613" w14:textId="2F6CAA7F" w:rsidR="00623475" w:rsidRPr="003427A6" w:rsidRDefault="00623475">
      <w:pPr>
        <w:pStyle w:val="af6"/>
      </w:pPr>
      <w:r w:rsidRPr="003427A6">
        <w:rPr>
          <w:rStyle w:val="af8"/>
        </w:rPr>
        <w:endnoteRef/>
      </w:r>
      <w:r w:rsidRPr="003427A6">
        <w:t xml:space="preserve">Schneider MP, Raff U, Kopp C, Scheppach JB, Toncar S, Wanner C, Schlieper G, Saritas T, Floege J, Schmid M, Birukov A, Dahlmann A, Linz P, Janka R, Uder M, Schmieder RE, Titze JM, Eckardt KU. Skin sodium concentration correlates with left ventricular hypertrophy in CKD. J Am Soc Nephrol. 2017;28:1867–1876. doi: 10.1681/ASN.2016060662 </w:t>
      </w:r>
    </w:p>
  </w:endnote>
  <w:endnote w:id="44">
    <w:p w14:paraId="66ACA1DF" w14:textId="025D20A2" w:rsidR="00623475" w:rsidRPr="003427A6" w:rsidRDefault="00623475">
      <w:pPr>
        <w:pStyle w:val="af6"/>
      </w:pPr>
      <w:r w:rsidRPr="003427A6">
        <w:rPr>
          <w:rStyle w:val="af8"/>
        </w:rPr>
        <w:endnoteRef/>
      </w:r>
      <w:r w:rsidRPr="003427A6">
        <w:t xml:space="preserve"> Heise T, Jordan J, Wanner C, Heer M, Macha S, Mattheus M, Lund SS, Woerle HJ and Broedl UC. Pharmacodynamic Effects of Single and Multiple Doses of Empagliflozin in Patients With Type 2 Diabetes. Clin Ther. 2016;38:2265-2276.</w:t>
      </w:r>
    </w:p>
  </w:endnote>
  <w:endnote w:id="45">
    <w:p w14:paraId="70D0B22F" w14:textId="2AD814CD" w:rsidR="00623475" w:rsidRPr="003427A6" w:rsidRDefault="00623475">
      <w:pPr>
        <w:pStyle w:val="af6"/>
      </w:pPr>
      <w:r w:rsidRPr="003427A6">
        <w:rPr>
          <w:rStyle w:val="af8"/>
        </w:rPr>
        <w:endnoteRef/>
      </w:r>
      <w:r w:rsidRPr="003427A6">
        <w:t xml:space="preserve"> Scheen AJ. Reappraisal of the diuretic effect of empagliflozin in the EMPA-REG OUTCOME trial: Comparison with classic diuretics. Diabetes &amp; metabolism. 2016;42:224-33.</w:t>
      </w:r>
    </w:p>
  </w:endnote>
  <w:endnote w:id="46">
    <w:p w14:paraId="5029EE78" w14:textId="55A0986C" w:rsidR="00623475" w:rsidRPr="003427A6" w:rsidRDefault="00623475">
      <w:pPr>
        <w:pStyle w:val="af6"/>
      </w:pPr>
      <w:r w:rsidRPr="003427A6">
        <w:rPr>
          <w:rStyle w:val="af8"/>
        </w:rPr>
        <w:endnoteRef/>
      </w:r>
      <w:r w:rsidRPr="003427A6">
        <w:t xml:space="preserve"> Vasilakou D, Karagiannis T, Athanasiadou E, Mainou M, Liakos A, Bekiari E, Sarigianni M, Matthews DR and Tsapas A. Sodium-glucose cotransporter 2 inhibitors for type 2 diabetes: a systematic review and meta-analysis. Ann Intern Med. 2013;159:262-74.</w:t>
      </w:r>
    </w:p>
  </w:endnote>
  <w:endnote w:id="47">
    <w:p w14:paraId="799B12C9" w14:textId="77777777" w:rsidR="00623475" w:rsidRPr="003427A6" w:rsidRDefault="00623475" w:rsidP="000A2C12">
      <w:pPr>
        <w:pStyle w:val="af6"/>
      </w:pPr>
      <w:r w:rsidRPr="003427A6">
        <w:rPr>
          <w:rStyle w:val="af8"/>
        </w:rPr>
        <w:endnoteRef/>
      </w:r>
      <w:r w:rsidRPr="003427A6">
        <w:t xml:space="preserve"> Look AHEAD Research Group, Gregg EW, Jakicic JM, Blackburn G, Bloomquist P,</w:t>
      </w:r>
    </w:p>
    <w:p w14:paraId="4D2CA540" w14:textId="77777777" w:rsidR="00623475" w:rsidRPr="003427A6" w:rsidRDefault="00623475" w:rsidP="000A2C12">
      <w:pPr>
        <w:pStyle w:val="af6"/>
      </w:pPr>
      <w:r w:rsidRPr="003427A6">
        <w:t>Bray GA, Clark JM, Coday M, Curtis JM, Egan C, Evans M, Foreyt J, Foster G,</w:t>
      </w:r>
    </w:p>
    <w:p w14:paraId="44CC6862" w14:textId="77777777" w:rsidR="00623475" w:rsidRPr="003427A6" w:rsidRDefault="00623475" w:rsidP="000A2C12">
      <w:pPr>
        <w:pStyle w:val="af6"/>
      </w:pPr>
      <w:r w:rsidRPr="003427A6">
        <w:t>Hazuda HP, Hill JO, Horton ES, Hubbard VS, Jeffery RW, Johnson KC, Kitabchi AE,</w:t>
      </w:r>
    </w:p>
    <w:p w14:paraId="70CD5329" w14:textId="77777777" w:rsidR="00623475" w:rsidRPr="003427A6" w:rsidRDefault="00623475" w:rsidP="000A2C12">
      <w:pPr>
        <w:pStyle w:val="af6"/>
      </w:pPr>
      <w:r w:rsidRPr="003427A6">
        <w:t>Knowler WC, Kriska A, Lang W, Lewis CE, Montez MG, Nathan DM, Neiberg RH,</w:t>
      </w:r>
    </w:p>
    <w:p w14:paraId="0FFC4AC0" w14:textId="77777777" w:rsidR="00623475" w:rsidRPr="003427A6" w:rsidRDefault="00623475" w:rsidP="000A2C12">
      <w:pPr>
        <w:pStyle w:val="af6"/>
      </w:pPr>
      <w:r w:rsidRPr="003427A6">
        <w:t>Patricio J, Peters A, Pi-Sunyer X, Pownall H, Redmon B, Regensteiner J, Rejeski</w:t>
      </w:r>
    </w:p>
    <w:p w14:paraId="5CCC6F28" w14:textId="77777777" w:rsidR="00623475" w:rsidRPr="003427A6" w:rsidRDefault="00623475" w:rsidP="000A2C12">
      <w:pPr>
        <w:pStyle w:val="af6"/>
      </w:pPr>
      <w:r w:rsidRPr="003427A6">
        <w:t>J, Ribisl PM, Safford M, Stewart K, Trence D, Wadden TA, Wing RR, Yanovski SZ.</w:t>
      </w:r>
    </w:p>
    <w:p w14:paraId="29D12F58" w14:textId="77777777" w:rsidR="00623475" w:rsidRPr="003427A6" w:rsidRDefault="00623475" w:rsidP="000A2C12">
      <w:pPr>
        <w:pStyle w:val="af6"/>
      </w:pPr>
      <w:r w:rsidRPr="003427A6">
        <w:t xml:space="preserve">Association of the magnitude of weight loss and changes in physical fitness with </w:t>
      </w:r>
    </w:p>
    <w:p w14:paraId="59120654" w14:textId="77777777" w:rsidR="00623475" w:rsidRPr="003427A6" w:rsidRDefault="00623475" w:rsidP="000A2C12">
      <w:pPr>
        <w:pStyle w:val="af6"/>
      </w:pPr>
      <w:r w:rsidRPr="003427A6">
        <w:t>long-term cardiovascular disease outcomes in overweight or obese people with type</w:t>
      </w:r>
    </w:p>
    <w:p w14:paraId="2389A9AC" w14:textId="77777777" w:rsidR="00623475" w:rsidRPr="003427A6" w:rsidRDefault="00623475" w:rsidP="000A2C12">
      <w:pPr>
        <w:pStyle w:val="af6"/>
      </w:pPr>
      <w:r w:rsidRPr="003427A6">
        <w:t>2 diabetes: a post-hoc analysis of the Look AHEAD randomised clinical trial.</w:t>
      </w:r>
    </w:p>
    <w:p w14:paraId="733EE733" w14:textId="77777777" w:rsidR="00623475" w:rsidRPr="003427A6" w:rsidRDefault="00623475" w:rsidP="000A2C12">
      <w:pPr>
        <w:pStyle w:val="af6"/>
      </w:pPr>
      <w:r w:rsidRPr="003427A6">
        <w:t>Lancet Diabetes Endocrinol. 2016 Nov;4(11):913-921. doi:</w:t>
      </w:r>
    </w:p>
    <w:p w14:paraId="4F3886D0" w14:textId="77777777" w:rsidR="00623475" w:rsidRPr="003427A6" w:rsidRDefault="00623475" w:rsidP="000A2C12">
      <w:pPr>
        <w:pStyle w:val="af6"/>
      </w:pPr>
      <w:r w:rsidRPr="003427A6">
        <w:t>10.1016/S2213-8587(16)30162-0. Epub 2016 Aug 30. PubMed PMID: 27595918; PubMed</w:t>
      </w:r>
    </w:p>
    <w:p w14:paraId="3537046A" w14:textId="4698B9FF" w:rsidR="00623475" w:rsidRPr="003427A6" w:rsidRDefault="00623475" w:rsidP="000A2C12">
      <w:pPr>
        <w:pStyle w:val="af6"/>
      </w:pPr>
      <w:r w:rsidRPr="003427A6">
        <w:t>Central PMCID: PMC5094846.</w:t>
      </w:r>
    </w:p>
  </w:endnote>
  <w:endnote w:id="48">
    <w:p w14:paraId="5C4231FA" w14:textId="77777777" w:rsidR="00623475" w:rsidRPr="003427A6" w:rsidRDefault="00623475" w:rsidP="00445522">
      <w:pPr>
        <w:pStyle w:val="af6"/>
      </w:pPr>
      <w:r w:rsidRPr="003427A6">
        <w:rPr>
          <w:rStyle w:val="af8"/>
        </w:rPr>
        <w:endnoteRef/>
      </w:r>
      <w:r w:rsidRPr="003427A6">
        <w:t xml:space="preserve"> Kilić A, Huang CX, Rajapurohitam V, Madwed JB, Karmazyn M. Early and transient</w:t>
      </w:r>
    </w:p>
    <w:p w14:paraId="72842CDE" w14:textId="77777777" w:rsidR="00623475" w:rsidRPr="003427A6" w:rsidRDefault="00623475" w:rsidP="00445522">
      <w:pPr>
        <w:pStyle w:val="af6"/>
      </w:pPr>
      <w:r w:rsidRPr="003427A6">
        <w:t>sodium-hydrogen exchanger isoform 1 inhibition attenuates subsequent cardiac</w:t>
      </w:r>
    </w:p>
    <w:p w14:paraId="53BA33D0" w14:textId="77777777" w:rsidR="00623475" w:rsidRPr="003427A6" w:rsidRDefault="00623475" w:rsidP="00445522">
      <w:pPr>
        <w:pStyle w:val="af6"/>
      </w:pPr>
      <w:r w:rsidRPr="003427A6">
        <w:t>hypertrophy and heart failure following coronary artery ligation. J Pharmacol Exp</w:t>
      </w:r>
    </w:p>
    <w:p w14:paraId="29629372" w14:textId="77777777" w:rsidR="00623475" w:rsidRPr="003427A6" w:rsidRDefault="00623475" w:rsidP="00445522">
      <w:pPr>
        <w:pStyle w:val="af6"/>
      </w:pPr>
      <w:r w:rsidRPr="003427A6">
        <w:t>Ther. 2014 Dec;351(3):492-9. doi: 10.1124/jpet.114.217091. Epub 2014 Sep 12.</w:t>
      </w:r>
    </w:p>
    <w:p w14:paraId="02F02A51" w14:textId="45BF50EF" w:rsidR="00623475" w:rsidRPr="003427A6" w:rsidRDefault="00623475" w:rsidP="00445522">
      <w:pPr>
        <w:pStyle w:val="af6"/>
      </w:pPr>
      <w:r w:rsidRPr="003427A6">
        <w:t>PubMed PMID: 25216745.</w:t>
      </w:r>
    </w:p>
  </w:endnote>
  <w:endnote w:id="49">
    <w:p w14:paraId="1E065AB9" w14:textId="77777777" w:rsidR="00623475" w:rsidRPr="003427A6" w:rsidRDefault="00623475" w:rsidP="00CA1AA3">
      <w:pPr>
        <w:pStyle w:val="af6"/>
      </w:pPr>
      <w:r w:rsidRPr="003427A6">
        <w:rPr>
          <w:rStyle w:val="af8"/>
        </w:rPr>
        <w:endnoteRef/>
      </w:r>
      <w:r w:rsidRPr="003427A6">
        <w:t xml:space="preserve"> Fliegel L, Dyck JR. Molecular biology of the cardiac sodium/hydrogen</w:t>
      </w:r>
    </w:p>
    <w:p w14:paraId="7F8F2E00" w14:textId="74D33994" w:rsidR="00623475" w:rsidRPr="003427A6" w:rsidRDefault="00623475" w:rsidP="00CA1AA3">
      <w:pPr>
        <w:pStyle w:val="af6"/>
      </w:pPr>
      <w:r w:rsidRPr="003427A6">
        <w:t>exchanger. Cardiovasc Res 29: 155–159, 1995.</w:t>
      </w:r>
    </w:p>
  </w:endnote>
  <w:endnote w:id="50">
    <w:p w14:paraId="6B95C8C8" w14:textId="77777777" w:rsidR="00623475" w:rsidRPr="003427A6" w:rsidRDefault="00623475" w:rsidP="00B106AB">
      <w:pPr>
        <w:pStyle w:val="af6"/>
      </w:pPr>
      <w:r w:rsidRPr="003427A6">
        <w:rPr>
          <w:rStyle w:val="af8"/>
        </w:rPr>
        <w:endnoteRef/>
      </w:r>
      <w:r w:rsidRPr="003427A6">
        <w:t xml:space="preserve"> Pogwizd SM, Sipido KR, Verdonck F, Bers DM. Intracellular Na in animal models </w:t>
      </w:r>
    </w:p>
    <w:p w14:paraId="6C449CBC" w14:textId="77777777" w:rsidR="00623475" w:rsidRPr="003427A6" w:rsidRDefault="00623475" w:rsidP="00B106AB">
      <w:pPr>
        <w:pStyle w:val="af6"/>
      </w:pPr>
      <w:r w:rsidRPr="003427A6">
        <w:t>of hypertrophy and heart failure: contractile function and arrhythmogenesis.</w:t>
      </w:r>
    </w:p>
    <w:p w14:paraId="1F3DD0B5" w14:textId="77777777" w:rsidR="00623475" w:rsidRPr="003427A6" w:rsidRDefault="00623475" w:rsidP="00B106AB">
      <w:pPr>
        <w:pStyle w:val="af6"/>
      </w:pPr>
      <w:r w:rsidRPr="003427A6">
        <w:t>Cardiovasc Res. 2003 Mar 15;57(4):887-96. Review. PubMed PMID: 12650867.</w:t>
      </w:r>
    </w:p>
  </w:endnote>
  <w:endnote w:id="51">
    <w:p w14:paraId="217C85B3" w14:textId="77777777" w:rsidR="00623475" w:rsidRPr="003427A6" w:rsidRDefault="00623475" w:rsidP="00B106AB">
      <w:pPr>
        <w:pStyle w:val="af6"/>
      </w:pPr>
      <w:r w:rsidRPr="003427A6">
        <w:rPr>
          <w:rStyle w:val="af8"/>
        </w:rPr>
        <w:endnoteRef/>
      </w:r>
      <w:r w:rsidRPr="003427A6">
        <w:t xml:space="preserve"> Cingolani HE, Ennis IL. Sodium-hydrogen exchanger, cardiac overload, and</w:t>
      </w:r>
    </w:p>
    <w:p w14:paraId="4121E49E" w14:textId="77777777" w:rsidR="00623475" w:rsidRPr="003427A6" w:rsidRDefault="00623475" w:rsidP="00B106AB">
      <w:pPr>
        <w:pStyle w:val="af6"/>
      </w:pPr>
      <w:r w:rsidRPr="003427A6">
        <w:t>myocardial hypertrophy. Circulation. 2007 Mar 6;115(9):1090-100. Review. PubMed</w:t>
      </w:r>
    </w:p>
    <w:p w14:paraId="4C4C4AE7" w14:textId="77777777" w:rsidR="00623475" w:rsidRPr="003427A6" w:rsidRDefault="00623475" w:rsidP="00B106AB">
      <w:pPr>
        <w:pStyle w:val="af6"/>
      </w:pPr>
      <w:r w:rsidRPr="003427A6">
        <w:t>PMID: 17339567.</w:t>
      </w:r>
    </w:p>
  </w:endnote>
  <w:endnote w:id="52">
    <w:p w14:paraId="763F6299" w14:textId="77777777" w:rsidR="00623475" w:rsidRPr="003427A6" w:rsidRDefault="00623475" w:rsidP="00811B81">
      <w:pPr>
        <w:pStyle w:val="af6"/>
      </w:pPr>
      <w:r w:rsidRPr="003427A6">
        <w:rPr>
          <w:rStyle w:val="af8"/>
        </w:rPr>
        <w:endnoteRef/>
      </w:r>
      <w:r w:rsidRPr="003427A6">
        <w:t xml:space="preserve"> Madonna R, De Caterina R. Sodium-hydrogen exchangers (NHE) in human</w:t>
      </w:r>
    </w:p>
    <w:p w14:paraId="78B672F3" w14:textId="77777777" w:rsidR="00623475" w:rsidRPr="003427A6" w:rsidRDefault="00623475" w:rsidP="00811B81">
      <w:pPr>
        <w:pStyle w:val="af6"/>
      </w:pPr>
      <w:r w:rsidRPr="003427A6">
        <w:t>cardiovascular diseases: interfering strategies and their therapeutic</w:t>
      </w:r>
    </w:p>
    <w:p w14:paraId="0A64DFB9" w14:textId="77777777" w:rsidR="00623475" w:rsidRPr="003427A6" w:rsidRDefault="00623475" w:rsidP="00811B81">
      <w:pPr>
        <w:pStyle w:val="af6"/>
      </w:pPr>
      <w:r w:rsidRPr="003427A6">
        <w:t>applications. Vascul Pharmacol. 2013 Nov-Dec;59(5-6):127-30. doi:</w:t>
      </w:r>
    </w:p>
    <w:p w14:paraId="0280E07D" w14:textId="5AE77108" w:rsidR="00623475" w:rsidRPr="003427A6" w:rsidRDefault="00623475" w:rsidP="00811B81">
      <w:pPr>
        <w:pStyle w:val="af6"/>
      </w:pPr>
      <w:r w:rsidRPr="003427A6">
        <w:t>10.1016/j.vph.2013.10.001. Epub 2013 Oct 15. Review. PubMed PMID: 24140414.</w:t>
      </w:r>
    </w:p>
  </w:endnote>
  <w:endnote w:id="53">
    <w:p w14:paraId="2271D0DD" w14:textId="77777777" w:rsidR="00623475" w:rsidRPr="003427A6" w:rsidRDefault="00623475" w:rsidP="00304B30">
      <w:pPr>
        <w:pStyle w:val="af6"/>
      </w:pPr>
      <w:r w:rsidRPr="003427A6">
        <w:rPr>
          <w:rStyle w:val="af8"/>
        </w:rPr>
        <w:endnoteRef/>
      </w:r>
      <w:r w:rsidRPr="003427A6">
        <w:t xml:space="preserve"> Donowitz M, Ming Tse C, Fuster D. SLC9/NHE gene family, a plasma membrane and </w:t>
      </w:r>
    </w:p>
    <w:p w14:paraId="03666E6E" w14:textId="77777777" w:rsidR="00623475" w:rsidRPr="003427A6" w:rsidRDefault="00623475" w:rsidP="00304B30">
      <w:pPr>
        <w:pStyle w:val="af6"/>
      </w:pPr>
      <w:r w:rsidRPr="003427A6">
        <w:t>organellar family of Na⁺/H⁺ exchangers. Mol Aspects Med. 2013</w:t>
      </w:r>
    </w:p>
    <w:p w14:paraId="0BA711A9" w14:textId="77777777" w:rsidR="00623475" w:rsidRPr="003427A6" w:rsidRDefault="00623475" w:rsidP="00304B30">
      <w:pPr>
        <w:pStyle w:val="af6"/>
      </w:pPr>
      <w:r w:rsidRPr="003427A6">
        <w:t>Apr-Jun;34(2-3):236-51. doi: 10.1016/j.mam.2012.05.001. Review. PubMed PMID:</w:t>
      </w:r>
    </w:p>
    <w:p w14:paraId="43FBCDD7" w14:textId="235D2D81" w:rsidR="00623475" w:rsidRPr="003427A6" w:rsidRDefault="00623475" w:rsidP="00304B30">
      <w:pPr>
        <w:pStyle w:val="af6"/>
      </w:pPr>
      <w:r w:rsidRPr="003427A6">
        <w:t>23506868; PubMed Central PMCID: PMC3724465.</w:t>
      </w:r>
    </w:p>
  </w:endnote>
  <w:endnote w:id="54">
    <w:p w14:paraId="7DACC112" w14:textId="77777777" w:rsidR="00623475" w:rsidRPr="003427A6" w:rsidRDefault="00623475" w:rsidP="00AE65FA">
      <w:pPr>
        <w:pStyle w:val="af6"/>
      </w:pPr>
      <w:r w:rsidRPr="003427A6">
        <w:rPr>
          <w:rStyle w:val="af8"/>
        </w:rPr>
        <w:endnoteRef/>
      </w:r>
      <w:r w:rsidRPr="003427A6">
        <w:t xml:space="preserve"> Chaitman BR. A review of the GUARDIAN trial results: clinical implications and</w:t>
      </w:r>
    </w:p>
    <w:p w14:paraId="6777BDE8" w14:textId="77777777" w:rsidR="00623475" w:rsidRPr="003427A6" w:rsidRDefault="00623475" w:rsidP="00AE65FA">
      <w:pPr>
        <w:pStyle w:val="af6"/>
      </w:pPr>
      <w:r w:rsidRPr="003427A6">
        <w:t>the significance of elevated perioperative CK-MB on 6-month survival. J Card</w:t>
      </w:r>
    </w:p>
    <w:p w14:paraId="66BF14FD" w14:textId="77BD5C8C" w:rsidR="00623475" w:rsidRPr="003427A6" w:rsidRDefault="00623475" w:rsidP="00AE65FA">
      <w:pPr>
        <w:pStyle w:val="af6"/>
      </w:pPr>
      <w:r w:rsidRPr="003427A6">
        <w:t>Surg. 2003 Jan-Feb;18 Suppl 1:13-20. Review. PubMed PMID: 12691375.</w:t>
      </w:r>
    </w:p>
  </w:endnote>
  <w:endnote w:id="55">
    <w:p w14:paraId="33A00895" w14:textId="77777777" w:rsidR="00623475" w:rsidRPr="003427A6" w:rsidRDefault="00623475" w:rsidP="007B6E70">
      <w:pPr>
        <w:pStyle w:val="af6"/>
      </w:pPr>
      <w:r w:rsidRPr="003427A6">
        <w:rPr>
          <w:rStyle w:val="af8"/>
        </w:rPr>
        <w:endnoteRef/>
      </w:r>
      <w:r w:rsidRPr="003427A6">
        <w:t xml:space="preserve"> U. Zeymer, H. Suryapranata, J.P. Monassier, et al.The Na+/H+exchange inhibitor eniporide as an adjunct to early reperfusion therapy for acute myocardial infarction: results of the Evaluation of the Safety and Cardioprotective Effects of Eniporide in Acute Myocardial Infarction (ESCAMI) trial</w:t>
      </w:r>
    </w:p>
    <w:p w14:paraId="39520C9B" w14:textId="6C410991" w:rsidR="00623475" w:rsidRPr="003427A6" w:rsidRDefault="00623475" w:rsidP="007B6E70">
      <w:pPr>
        <w:pStyle w:val="af6"/>
      </w:pPr>
      <w:r w:rsidRPr="003427A6">
        <w:t>J Am Coll Cardiol, 38 (2001), pp. 1644-1650.</w:t>
      </w:r>
    </w:p>
  </w:endnote>
  <w:endnote w:id="56">
    <w:p w14:paraId="32D962A7" w14:textId="77777777" w:rsidR="00623475" w:rsidRPr="003427A6" w:rsidRDefault="00623475" w:rsidP="005B3EAA">
      <w:pPr>
        <w:pStyle w:val="af6"/>
      </w:pPr>
      <w:r w:rsidRPr="003427A6">
        <w:rPr>
          <w:rStyle w:val="af8"/>
        </w:rPr>
        <w:endnoteRef/>
      </w:r>
      <w:r w:rsidRPr="003427A6">
        <w:t xml:space="preserve"> Avkiran M, Marber MS. Na(+)/H(+) exchange inhibitors for cardioprotective</w:t>
      </w:r>
    </w:p>
    <w:p w14:paraId="58AA7111" w14:textId="77777777" w:rsidR="00623475" w:rsidRPr="003427A6" w:rsidRDefault="00623475" w:rsidP="005B3EAA">
      <w:pPr>
        <w:pStyle w:val="af6"/>
      </w:pPr>
      <w:r w:rsidRPr="003427A6">
        <w:t>therapy: progress, problems and prospects. J Am Coll Cardiol. 2002 Mar</w:t>
      </w:r>
    </w:p>
    <w:p w14:paraId="60BD5429" w14:textId="1DC06F32" w:rsidR="00623475" w:rsidRPr="003427A6" w:rsidRDefault="00623475" w:rsidP="005B3EAA">
      <w:pPr>
        <w:pStyle w:val="af6"/>
      </w:pPr>
      <w:r w:rsidRPr="003427A6">
        <w:t>6;39(5):747-53. Review. PubMed PMID: 11869836.</w:t>
      </w:r>
    </w:p>
  </w:endnote>
  <w:endnote w:id="57">
    <w:p w14:paraId="7DD3FAA9" w14:textId="77777777" w:rsidR="00623475" w:rsidRPr="003427A6" w:rsidRDefault="00623475" w:rsidP="00E86D0E">
      <w:pPr>
        <w:pStyle w:val="af6"/>
      </w:pPr>
      <w:r w:rsidRPr="003427A6">
        <w:rPr>
          <w:rStyle w:val="af8"/>
        </w:rPr>
        <w:endnoteRef/>
      </w:r>
      <w:r w:rsidRPr="003427A6">
        <w:t xml:space="preserve"> Clements-Jewery H, Sutherland FJ, Allen MC, Tracey WR, Avkiran M.</w:t>
      </w:r>
    </w:p>
    <w:p w14:paraId="48441975" w14:textId="77777777" w:rsidR="00623475" w:rsidRPr="003427A6" w:rsidRDefault="00623475" w:rsidP="00E86D0E">
      <w:pPr>
        <w:pStyle w:val="af6"/>
      </w:pPr>
      <w:r w:rsidRPr="003427A6">
        <w:t>Cardioprotective efficacy of zoniporide, a potent and selective inhibitor of</w:t>
      </w:r>
    </w:p>
    <w:p w14:paraId="77918547" w14:textId="77777777" w:rsidR="00623475" w:rsidRPr="003427A6" w:rsidRDefault="00623475" w:rsidP="00E86D0E">
      <w:pPr>
        <w:pStyle w:val="af6"/>
      </w:pPr>
      <w:r w:rsidRPr="003427A6">
        <w:t>Na+/H+ exchanger isoform 1, in an experimental model of cardiopulmonary bypass.</w:t>
      </w:r>
    </w:p>
    <w:p w14:paraId="24B2E497" w14:textId="77777777" w:rsidR="00623475" w:rsidRPr="003427A6" w:rsidRDefault="00623475" w:rsidP="00E86D0E">
      <w:pPr>
        <w:pStyle w:val="af6"/>
      </w:pPr>
      <w:r w:rsidRPr="003427A6">
        <w:t>Br J Pharmacol. 2004 May;142(1):57-66. Epub 2004 Mar 22. PubMed PMID: 15037516;</w:t>
      </w:r>
    </w:p>
    <w:p w14:paraId="741E333B" w14:textId="7DF828A1" w:rsidR="00623475" w:rsidRPr="003427A6" w:rsidRDefault="00623475" w:rsidP="00E86D0E">
      <w:pPr>
        <w:pStyle w:val="af6"/>
      </w:pPr>
      <w:r w:rsidRPr="003427A6">
        <w:t>PubMed Central PMCID: PMC1574931.</w:t>
      </w:r>
    </w:p>
  </w:endnote>
  <w:endnote w:id="58">
    <w:p w14:paraId="3B8B5E0A" w14:textId="77777777" w:rsidR="00623475" w:rsidRPr="003427A6" w:rsidRDefault="00623475" w:rsidP="00445522">
      <w:pPr>
        <w:pStyle w:val="af6"/>
      </w:pPr>
      <w:r w:rsidRPr="003427A6">
        <w:rPr>
          <w:rStyle w:val="af8"/>
        </w:rPr>
        <w:endnoteRef/>
      </w:r>
      <w:r w:rsidRPr="003427A6">
        <w:t xml:space="preserve"> Ayoub IM, Kolarova J, Gazmuri RJ. Cariporide given during resuscitation</w:t>
      </w:r>
    </w:p>
    <w:p w14:paraId="6CA38996" w14:textId="77777777" w:rsidR="00623475" w:rsidRPr="003427A6" w:rsidRDefault="00623475" w:rsidP="00445522">
      <w:pPr>
        <w:pStyle w:val="af6"/>
      </w:pPr>
      <w:r w:rsidRPr="003427A6">
        <w:t>promotes return of electrically stable and mechanically competent cardiac</w:t>
      </w:r>
    </w:p>
    <w:p w14:paraId="58E2252B" w14:textId="77777777" w:rsidR="00623475" w:rsidRPr="003427A6" w:rsidRDefault="00623475" w:rsidP="00445522">
      <w:pPr>
        <w:pStyle w:val="af6"/>
      </w:pPr>
      <w:r w:rsidRPr="003427A6">
        <w:t>activity. Resuscitation. 2010 Jan;81(1):106-10. doi:</w:t>
      </w:r>
    </w:p>
    <w:p w14:paraId="76B8CF30" w14:textId="77777777" w:rsidR="00623475" w:rsidRPr="003427A6" w:rsidRDefault="00623475" w:rsidP="00445522">
      <w:pPr>
        <w:pStyle w:val="af6"/>
      </w:pPr>
      <w:r w:rsidRPr="003427A6">
        <w:t>10.1016/j.resuscitation.2009.09.013. Epub 2009 Oct 22. PubMed PMID: 19853351;</w:t>
      </w:r>
    </w:p>
    <w:p w14:paraId="3E78E64B" w14:textId="2AF16C36" w:rsidR="00623475" w:rsidRPr="003427A6" w:rsidRDefault="00623475" w:rsidP="00445522">
      <w:pPr>
        <w:pStyle w:val="af6"/>
      </w:pPr>
      <w:r w:rsidRPr="003427A6">
        <w:t>PubMed Central PMCID: PMC2814946.</w:t>
      </w:r>
    </w:p>
  </w:endnote>
  <w:endnote w:id="59">
    <w:p w14:paraId="3AA2EDD2" w14:textId="77777777" w:rsidR="00623475" w:rsidRPr="003427A6" w:rsidRDefault="00623475" w:rsidP="00445522">
      <w:pPr>
        <w:pStyle w:val="af6"/>
      </w:pPr>
      <w:r w:rsidRPr="003427A6">
        <w:rPr>
          <w:rStyle w:val="af8"/>
        </w:rPr>
        <w:endnoteRef/>
      </w:r>
      <w:r w:rsidRPr="003427A6">
        <w:t xml:space="preserve"> Lamoureux L, Radhakrishnan J, Mason TG, Kraut JA, Gazmuri RJ. Adverse</w:t>
      </w:r>
    </w:p>
    <w:p w14:paraId="178A71E0" w14:textId="77777777" w:rsidR="00623475" w:rsidRPr="003427A6" w:rsidRDefault="00623475" w:rsidP="00445522">
      <w:pPr>
        <w:pStyle w:val="af6"/>
      </w:pPr>
      <w:r w:rsidRPr="003427A6">
        <w:t>postresuscitation myocardial effects elicited by buffer-induced alkalemia</w:t>
      </w:r>
    </w:p>
    <w:p w14:paraId="353F5706" w14:textId="77777777" w:rsidR="00623475" w:rsidRPr="003427A6" w:rsidRDefault="00623475" w:rsidP="00445522">
      <w:pPr>
        <w:pStyle w:val="af6"/>
      </w:pPr>
      <w:r w:rsidRPr="003427A6">
        <w:t>ameliorated by NHE-1 inhibition in a rat model of ventricular fibrillation. J</w:t>
      </w:r>
    </w:p>
    <w:p w14:paraId="59FA40F1" w14:textId="77777777" w:rsidR="00623475" w:rsidRPr="003427A6" w:rsidRDefault="00623475" w:rsidP="00445522">
      <w:pPr>
        <w:pStyle w:val="af6"/>
      </w:pPr>
      <w:r w:rsidRPr="003427A6">
        <w:t>Appl Physiol (1985). 2016 Nov 1;121(5):1160-1168. doi:</w:t>
      </w:r>
    </w:p>
    <w:p w14:paraId="618E5619" w14:textId="709A4D7E" w:rsidR="00623475" w:rsidRPr="003427A6" w:rsidRDefault="00623475" w:rsidP="00445522">
      <w:pPr>
        <w:pStyle w:val="af6"/>
      </w:pPr>
      <w:r w:rsidRPr="003427A6">
        <w:t>10.1152/japplphysiol.00336.2016. Epub 2016 Sep 15. PubMed PMID: 27633736.</w:t>
      </w:r>
    </w:p>
  </w:endnote>
  <w:endnote w:id="60">
    <w:p w14:paraId="0E4569C1" w14:textId="6EFE6DCF" w:rsidR="00623475" w:rsidRPr="003427A6" w:rsidRDefault="00623475">
      <w:pPr>
        <w:pStyle w:val="af6"/>
      </w:pPr>
      <w:r w:rsidRPr="003427A6">
        <w:rPr>
          <w:rStyle w:val="af8"/>
        </w:rPr>
        <w:endnoteRef/>
      </w:r>
      <w:r w:rsidRPr="003427A6">
        <w:t xml:space="preserve"> https://clinicaltrials.gov/ct2/show/NCT02710591</w:t>
      </w:r>
    </w:p>
  </w:endnote>
  <w:endnote w:id="61">
    <w:p w14:paraId="1CACEE4E" w14:textId="77777777" w:rsidR="00623475" w:rsidRPr="003427A6" w:rsidRDefault="00623475" w:rsidP="00D01C0D">
      <w:pPr>
        <w:pStyle w:val="af6"/>
      </w:pPr>
      <w:r w:rsidRPr="003427A6">
        <w:rPr>
          <w:rStyle w:val="af8"/>
        </w:rPr>
        <w:endnoteRef/>
      </w:r>
      <w:r w:rsidRPr="003427A6">
        <w:t xml:space="preserve"> Carreño JE, Verdugo FJ, Contreras F, Montellano FA, Veloso S, Schalper KA,</w:t>
      </w:r>
    </w:p>
    <w:p w14:paraId="313EF5FC" w14:textId="77777777" w:rsidR="00623475" w:rsidRPr="003427A6" w:rsidRDefault="00623475" w:rsidP="00D01C0D">
      <w:pPr>
        <w:pStyle w:val="af6"/>
      </w:pPr>
      <w:r w:rsidRPr="003427A6">
        <w:t xml:space="preserve">Sandoval M, Villanueva S, Marusic E, Irarrazabal CE. Spironolactone inhibits the </w:t>
      </w:r>
    </w:p>
    <w:p w14:paraId="576FA19B" w14:textId="77777777" w:rsidR="00623475" w:rsidRPr="003427A6" w:rsidRDefault="00623475" w:rsidP="00D01C0D">
      <w:pPr>
        <w:pStyle w:val="af6"/>
      </w:pPr>
      <w:r w:rsidRPr="003427A6">
        <w:t>activity of the Na+/H+ exchanger in the aorta of mineralocorticoid-induced</w:t>
      </w:r>
    </w:p>
    <w:p w14:paraId="7097A813" w14:textId="77777777" w:rsidR="00623475" w:rsidRPr="003427A6" w:rsidRDefault="00623475" w:rsidP="00D01C0D">
      <w:pPr>
        <w:pStyle w:val="af6"/>
      </w:pPr>
      <w:r w:rsidRPr="003427A6">
        <w:t xml:space="preserve">hypertensive rats. J Renin Angiotensin Aldosterone Syst. 2015 Dec;16(4):1225-31. </w:t>
      </w:r>
    </w:p>
    <w:p w14:paraId="4E6BF76E" w14:textId="0517C8E8" w:rsidR="00623475" w:rsidRPr="003427A6" w:rsidRDefault="00623475" w:rsidP="00D01C0D">
      <w:pPr>
        <w:pStyle w:val="af6"/>
      </w:pPr>
      <w:r w:rsidRPr="003427A6">
        <w:t>doi: 10.1177/1470320315587193. Epub 2015 May 21. PubMed PMID: 25997821.</w:t>
      </w:r>
    </w:p>
  </w:endnote>
  <w:endnote w:id="62">
    <w:p w14:paraId="54B980D0" w14:textId="77777777" w:rsidR="00623475" w:rsidRPr="003427A6" w:rsidRDefault="00623475" w:rsidP="003D0598">
      <w:pPr>
        <w:pStyle w:val="af6"/>
      </w:pPr>
      <w:r w:rsidRPr="003427A6">
        <w:rPr>
          <w:rStyle w:val="af8"/>
        </w:rPr>
        <w:endnoteRef/>
      </w:r>
      <w:r w:rsidRPr="003427A6">
        <w:t xml:space="preserve"> Baartscheer A, Schumacher CA, Wüst RC, Fiolet JW, Stienen GJ, Coronel R,</w:t>
      </w:r>
    </w:p>
    <w:p w14:paraId="6B8F7D3B" w14:textId="77777777" w:rsidR="00623475" w:rsidRPr="003427A6" w:rsidRDefault="00623475" w:rsidP="003D0598">
      <w:pPr>
        <w:pStyle w:val="af6"/>
      </w:pPr>
      <w:r w:rsidRPr="003427A6">
        <w:t>Zuurbier CJ. Empagliflozin decreases myocardial cytoplasmic Na(+) through</w:t>
      </w:r>
    </w:p>
    <w:p w14:paraId="7AC4402F" w14:textId="77777777" w:rsidR="00623475" w:rsidRPr="003427A6" w:rsidRDefault="00623475" w:rsidP="003D0598">
      <w:pPr>
        <w:pStyle w:val="af6"/>
      </w:pPr>
      <w:r w:rsidRPr="003427A6">
        <w:t>inhibition of the cardiac Na(+)/H(+) exchanger in rats and rabbits. Diabetologia.</w:t>
      </w:r>
    </w:p>
    <w:p w14:paraId="55DF3FBD" w14:textId="77777777" w:rsidR="00623475" w:rsidRPr="003427A6" w:rsidRDefault="00623475" w:rsidP="003D0598">
      <w:pPr>
        <w:pStyle w:val="af6"/>
      </w:pPr>
      <w:r w:rsidRPr="003427A6">
        <w:t xml:space="preserve">2017 Mar;60(3):568-573. doi: 10.1007/s00125-016-4134-x. Epub 2016 Oct 17. PubMed </w:t>
      </w:r>
    </w:p>
    <w:p w14:paraId="30A76EF1" w14:textId="709D0874" w:rsidR="00623475" w:rsidRPr="003427A6" w:rsidRDefault="00623475" w:rsidP="003D0598">
      <w:pPr>
        <w:pStyle w:val="af6"/>
      </w:pPr>
      <w:r w:rsidRPr="003427A6">
        <w:t>PMID: 27752710.</w:t>
      </w:r>
    </w:p>
  </w:endnote>
  <w:endnote w:id="63">
    <w:p w14:paraId="5CC262B8" w14:textId="77777777" w:rsidR="00623475" w:rsidRPr="003427A6" w:rsidRDefault="00623475" w:rsidP="0063471A">
      <w:pPr>
        <w:pStyle w:val="af6"/>
      </w:pPr>
      <w:r w:rsidRPr="003427A6">
        <w:rPr>
          <w:rStyle w:val="af8"/>
        </w:rPr>
        <w:endnoteRef/>
      </w:r>
      <w:r w:rsidRPr="003427A6">
        <w:t xml:space="preserve"> Scheen AJ (2014) Evaluating SGLT2 inhibitors for type 2 diabetes:</w:t>
      </w:r>
    </w:p>
    <w:p w14:paraId="28520AE1" w14:textId="77777777" w:rsidR="00623475" w:rsidRPr="003427A6" w:rsidRDefault="00623475" w:rsidP="0063471A">
      <w:pPr>
        <w:pStyle w:val="af6"/>
      </w:pPr>
      <w:r w:rsidRPr="003427A6">
        <w:t>pharmacokinetic and toxicological considerations. Expert Opin</w:t>
      </w:r>
    </w:p>
    <w:p w14:paraId="4AF88F4B" w14:textId="6E783200" w:rsidR="00623475" w:rsidRPr="003427A6" w:rsidRDefault="00623475" w:rsidP="0063471A">
      <w:pPr>
        <w:pStyle w:val="af6"/>
      </w:pPr>
      <w:r w:rsidRPr="003427A6">
        <w:t>Drug Metab Toxicol 10:647–663</w:t>
      </w:r>
    </w:p>
  </w:endnote>
  <w:endnote w:id="64">
    <w:p w14:paraId="31634583" w14:textId="77777777" w:rsidR="00623475" w:rsidRPr="003427A6" w:rsidRDefault="00623475" w:rsidP="00C52E59">
      <w:pPr>
        <w:pStyle w:val="af6"/>
      </w:pPr>
      <w:r w:rsidRPr="003427A6">
        <w:rPr>
          <w:rStyle w:val="af8"/>
        </w:rPr>
        <w:endnoteRef/>
      </w:r>
      <w:r w:rsidRPr="003427A6">
        <w:t xml:space="preserve"> Uthman L, Baartscheer A, Bleijlevens B, Schumacher CA, Fiolet JWT, Koeman A,</w:t>
      </w:r>
    </w:p>
    <w:p w14:paraId="486E6D7C" w14:textId="77777777" w:rsidR="00623475" w:rsidRPr="003427A6" w:rsidRDefault="00623475" w:rsidP="00C52E59">
      <w:pPr>
        <w:pStyle w:val="af6"/>
      </w:pPr>
      <w:r w:rsidRPr="003427A6">
        <w:t>Jancev M, Hollmann MW, Weber NC, Coronel R, Zuurbier CJ. Class effects of SGLT2</w:t>
      </w:r>
    </w:p>
    <w:p w14:paraId="4F6AFF0B" w14:textId="77777777" w:rsidR="00623475" w:rsidRPr="003427A6" w:rsidRDefault="00623475" w:rsidP="00C52E59">
      <w:pPr>
        <w:pStyle w:val="af6"/>
      </w:pPr>
      <w:r w:rsidRPr="003427A6">
        <w:t>inhibitors in mouse cardiomyocytes and hearts: inhibition of Na(+)/H(+)</w:t>
      </w:r>
    </w:p>
    <w:p w14:paraId="56C73065" w14:textId="77777777" w:rsidR="00623475" w:rsidRPr="003427A6" w:rsidRDefault="00623475" w:rsidP="00C52E59">
      <w:pPr>
        <w:pStyle w:val="af6"/>
      </w:pPr>
      <w:r w:rsidRPr="003427A6">
        <w:t>exchanger, lowering of cytosolic Na(+) and vasodilation. Diabetologia. 2018</w:t>
      </w:r>
    </w:p>
    <w:p w14:paraId="32988602" w14:textId="77777777" w:rsidR="00623475" w:rsidRPr="003427A6" w:rsidRDefault="00623475" w:rsidP="00C52E59">
      <w:pPr>
        <w:pStyle w:val="af6"/>
      </w:pPr>
      <w:r w:rsidRPr="003427A6">
        <w:t xml:space="preserve">Mar;61(3):722-726. doi: 10.1007/s00125-017-4509-7. Epub 2017 Dec 2. PubMed PMID: </w:t>
      </w:r>
    </w:p>
    <w:p w14:paraId="2BFE5FD5" w14:textId="2059C31C" w:rsidR="00623475" w:rsidRPr="003427A6" w:rsidRDefault="00623475" w:rsidP="00C52E59">
      <w:pPr>
        <w:pStyle w:val="af6"/>
      </w:pPr>
      <w:r w:rsidRPr="003427A6">
        <w:t>29197997.</w:t>
      </w:r>
    </w:p>
  </w:endnote>
  <w:endnote w:id="65">
    <w:p w14:paraId="215A49C1" w14:textId="77777777" w:rsidR="00623475" w:rsidRPr="003427A6" w:rsidRDefault="00623475" w:rsidP="00AF3138">
      <w:pPr>
        <w:pStyle w:val="af6"/>
      </w:pPr>
      <w:r w:rsidRPr="003427A6">
        <w:rPr>
          <w:rStyle w:val="af8"/>
        </w:rPr>
        <w:endnoteRef/>
      </w:r>
      <w:r w:rsidRPr="003427A6">
        <w:t xml:space="preserve"> Karmazyn M, Sostaric JV, Gan XT. The myocardial Na+/H+ exchanger: a potential </w:t>
      </w:r>
    </w:p>
    <w:p w14:paraId="1FCC469C" w14:textId="77777777" w:rsidR="00623475" w:rsidRPr="003427A6" w:rsidRDefault="00623475" w:rsidP="00AF3138">
      <w:pPr>
        <w:pStyle w:val="af6"/>
      </w:pPr>
      <w:r w:rsidRPr="003427A6">
        <w:t>therapeutic target for the prevention of myocardial ischaemic and reperfusion</w:t>
      </w:r>
    </w:p>
    <w:p w14:paraId="7ABD8BCF" w14:textId="77777777" w:rsidR="00623475" w:rsidRPr="003427A6" w:rsidRDefault="00623475" w:rsidP="00AF3138">
      <w:pPr>
        <w:pStyle w:val="af6"/>
      </w:pPr>
      <w:r w:rsidRPr="003427A6">
        <w:t>injury and attenuation of postinfarction heart failure. Drugs. 2001;61(3):375-89.</w:t>
      </w:r>
    </w:p>
    <w:p w14:paraId="1439D721" w14:textId="54A98CCB" w:rsidR="00623475" w:rsidRPr="003427A6" w:rsidRDefault="00623475" w:rsidP="00AF3138">
      <w:pPr>
        <w:pStyle w:val="af6"/>
      </w:pPr>
      <w:r w:rsidRPr="003427A6">
        <w:t>Review. PubMed PMID: 11293648.</w:t>
      </w:r>
    </w:p>
  </w:endnote>
  <w:endnote w:id="66">
    <w:p w14:paraId="45DE8056" w14:textId="77777777" w:rsidR="00623475" w:rsidRPr="003427A6" w:rsidRDefault="00623475" w:rsidP="00C52E59">
      <w:pPr>
        <w:pStyle w:val="af6"/>
      </w:pPr>
      <w:r w:rsidRPr="003427A6">
        <w:rPr>
          <w:rStyle w:val="af8"/>
        </w:rPr>
        <w:endnoteRef/>
      </w:r>
      <w:r w:rsidRPr="003427A6">
        <w:t xml:space="preserve"> Ye Y, Jia X, Bajaj M, Birnbaum Y. Dapagliflozin Attenuates Na(+)/H(+)</w:t>
      </w:r>
    </w:p>
    <w:p w14:paraId="03EE36A4" w14:textId="77777777" w:rsidR="00623475" w:rsidRPr="003427A6" w:rsidRDefault="00623475" w:rsidP="00C52E59">
      <w:pPr>
        <w:pStyle w:val="af6"/>
      </w:pPr>
      <w:r w:rsidRPr="003427A6">
        <w:t>Exchanger-1 in Cardiofibroblasts via AMPK Activation. Cardiovasc Drugs Ther. 2018</w:t>
      </w:r>
    </w:p>
    <w:p w14:paraId="64B2EB6C" w14:textId="77777777" w:rsidR="00623475" w:rsidRPr="003427A6" w:rsidRDefault="00623475" w:rsidP="00C52E59">
      <w:pPr>
        <w:pStyle w:val="af6"/>
      </w:pPr>
      <w:r w:rsidRPr="003427A6">
        <w:t>Oct 26. doi: 10.1007/s10557-018-6837-3. [Epub ahead of print] PubMed PMID:</w:t>
      </w:r>
    </w:p>
    <w:p w14:paraId="47C96A79" w14:textId="3EFE70C4" w:rsidR="00623475" w:rsidRPr="003427A6" w:rsidRDefault="00623475" w:rsidP="00C52E59">
      <w:pPr>
        <w:pStyle w:val="af6"/>
      </w:pPr>
      <w:r w:rsidRPr="003427A6">
        <w:t>30367338.</w:t>
      </w:r>
    </w:p>
  </w:endnote>
  <w:endnote w:id="67">
    <w:p w14:paraId="293954D3" w14:textId="37C002F6" w:rsidR="00623475" w:rsidRPr="003427A6" w:rsidRDefault="00623475">
      <w:pPr>
        <w:pStyle w:val="af6"/>
      </w:pPr>
      <w:r w:rsidRPr="003427A6">
        <w:rPr>
          <w:rStyle w:val="af8"/>
        </w:rPr>
        <w:endnoteRef/>
      </w:r>
      <w:r w:rsidRPr="003427A6">
        <w:t xml:space="preserve"> Pessoa TD, Campos LC, Carraro-Lacroix L, Girardi AC and Malnic G. Functional role of glucose metabolism, osmotic stress, and sodium-glucose cotransporter isoform-mediated transport on Na+/H+ exchanger isoform 3 activity in the renal proximal tubule. J Am Soc Nephrol. 2014;25:2028-39.</w:t>
      </w:r>
    </w:p>
  </w:endnote>
  <w:endnote w:id="68">
    <w:p w14:paraId="144A47CB" w14:textId="4F2EC252" w:rsidR="00623475" w:rsidRPr="003427A6" w:rsidRDefault="00623475">
      <w:pPr>
        <w:pStyle w:val="af6"/>
      </w:pPr>
      <w:r w:rsidRPr="003427A6">
        <w:rPr>
          <w:rStyle w:val="af8"/>
        </w:rPr>
        <w:endnoteRef/>
      </w:r>
      <w:r w:rsidRPr="003427A6">
        <w:t xml:space="preserve"> Layton AT, Vallon V and Edwards A. Modeling oxygen consumption in the proximal tubule: effects of NHE and SGLT2 inhibition. Am J Physiol Renal Physiol. 2015;308:F1343-57.</w:t>
      </w:r>
    </w:p>
  </w:endnote>
  <w:endnote w:id="69">
    <w:p w14:paraId="5AB0C823" w14:textId="77777777" w:rsidR="00623475" w:rsidRPr="003427A6" w:rsidRDefault="00623475" w:rsidP="00954575">
      <w:pPr>
        <w:pStyle w:val="af6"/>
      </w:pPr>
      <w:r w:rsidRPr="003427A6">
        <w:rPr>
          <w:rStyle w:val="af8"/>
        </w:rPr>
        <w:endnoteRef/>
      </w:r>
      <w:r w:rsidRPr="003427A6">
        <w:t xml:space="preserve"> Fenton RA, Poulsen SB, de la Mora Chavez S, Soleimani M, Dominguez Rieg JA,</w:t>
      </w:r>
    </w:p>
    <w:p w14:paraId="4AFAD695" w14:textId="77777777" w:rsidR="00623475" w:rsidRPr="003427A6" w:rsidRDefault="00623475" w:rsidP="00954575">
      <w:pPr>
        <w:pStyle w:val="af6"/>
      </w:pPr>
      <w:r w:rsidRPr="003427A6">
        <w:t>Rieg T. Renal tubular NHE3 is required in the maintenance of water and sodium</w:t>
      </w:r>
    </w:p>
    <w:p w14:paraId="1406F33D" w14:textId="77777777" w:rsidR="00623475" w:rsidRPr="003427A6" w:rsidRDefault="00623475" w:rsidP="00954575">
      <w:pPr>
        <w:pStyle w:val="af6"/>
      </w:pPr>
      <w:r w:rsidRPr="003427A6">
        <w:t>chloride homeostasis. Kidney Int. 2017 Aug;92(2):397-414. doi:</w:t>
      </w:r>
    </w:p>
    <w:p w14:paraId="69AE2E38" w14:textId="77777777" w:rsidR="00623475" w:rsidRPr="003427A6" w:rsidRDefault="00623475" w:rsidP="00954575">
      <w:pPr>
        <w:pStyle w:val="af6"/>
      </w:pPr>
      <w:r w:rsidRPr="003427A6">
        <w:t>10.1016/j.kint.2017.02.001. Epub 2017 Apr 3. PubMed PMID: 28385297; PubMed</w:t>
      </w:r>
    </w:p>
    <w:p w14:paraId="7AAD5FD2" w14:textId="5A3009FC" w:rsidR="00623475" w:rsidRPr="003427A6" w:rsidRDefault="00623475" w:rsidP="00954575">
      <w:pPr>
        <w:pStyle w:val="af6"/>
      </w:pPr>
      <w:r w:rsidRPr="003427A6">
        <w:t>Central PMCID: PMC5511580.</w:t>
      </w:r>
    </w:p>
  </w:endnote>
  <w:endnote w:id="70">
    <w:p w14:paraId="24DEC9ED" w14:textId="3134FC76" w:rsidR="00623475" w:rsidRPr="003427A6" w:rsidRDefault="00623475">
      <w:pPr>
        <w:pStyle w:val="af6"/>
      </w:pPr>
      <w:r w:rsidRPr="003427A6">
        <w:rPr>
          <w:rStyle w:val="af8"/>
        </w:rPr>
        <w:endnoteRef/>
      </w:r>
      <w:r w:rsidRPr="003427A6">
        <w:t xml:space="preserve"> Inoue BH, dos Santos L, Pessoa TD, Antonio EL, Pacheco BP, Savignano FA, Carraro-Lacroix LR, Tucci PJ, Malnic G and Girardi AC. Increased NHE3 abundance and transport activity in renal proximal tubule of rats with heart failure. Am J Physiol Regul Integr Comp Physiol. 2012;302:R166-74.</w:t>
      </w:r>
    </w:p>
  </w:endnote>
  <w:endnote w:id="71">
    <w:p w14:paraId="09256E04" w14:textId="33A47457" w:rsidR="00623475" w:rsidRPr="003427A6" w:rsidRDefault="00623475">
      <w:pPr>
        <w:pStyle w:val="af6"/>
      </w:pPr>
      <w:r w:rsidRPr="003427A6">
        <w:rPr>
          <w:rStyle w:val="af8"/>
        </w:rPr>
        <w:endnoteRef/>
      </w:r>
      <w:r w:rsidRPr="003427A6">
        <w:t xml:space="preserve"> Gallo LA, Wright EM and Vallon V. Probing SGLT2 as a therapeutic target for diabetes: basic physiology and consequences. Diab Vasc Dis Res. 2015;12:78-89.</w:t>
      </w:r>
    </w:p>
  </w:endnote>
  <w:endnote w:id="72">
    <w:p w14:paraId="1A263B9E" w14:textId="77777777" w:rsidR="00623475" w:rsidRPr="003427A6" w:rsidRDefault="00623475" w:rsidP="0054065C">
      <w:pPr>
        <w:pStyle w:val="af6"/>
      </w:pPr>
      <w:r w:rsidRPr="003427A6">
        <w:rPr>
          <w:rStyle w:val="af8"/>
        </w:rPr>
        <w:endnoteRef/>
      </w:r>
      <w:r w:rsidRPr="003427A6">
        <w:t xml:space="preserve"> de Albuquerque Rocha N, Neeland IJ, McCullough PA, Toto RD, McGuire DK.</w:t>
      </w:r>
    </w:p>
    <w:p w14:paraId="47C9CF59" w14:textId="77777777" w:rsidR="00623475" w:rsidRPr="003427A6" w:rsidRDefault="00623475" w:rsidP="0054065C">
      <w:pPr>
        <w:pStyle w:val="af6"/>
      </w:pPr>
      <w:r w:rsidRPr="003427A6">
        <w:t>Effects of sodium glucose co-transporter 2 inhibitors on the kidney. Diab Vasc</w:t>
      </w:r>
    </w:p>
    <w:p w14:paraId="242476F4" w14:textId="77777777" w:rsidR="00623475" w:rsidRPr="003427A6" w:rsidRDefault="00623475" w:rsidP="0054065C">
      <w:pPr>
        <w:pStyle w:val="af6"/>
      </w:pPr>
      <w:r w:rsidRPr="003427A6">
        <w:t xml:space="preserve">Dis Res. 2018 Sep;15(5):375-386. doi: 10.1177/1479164118783756. Epub 2018 Jul 2. </w:t>
      </w:r>
    </w:p>
    <w:p w14:paraId="2EAB3E2C" w14:textId="25F43E84" w:rsidR="00623475" w:rsidRPr="003427A6" w:rsidRDefault="00623475" w:rsidP="0054065C">
      <w:pPr>
        <w:pStyle w:val="af6"/>
      </w:pPr>
      <w:r w:rsidRPr="003427A6">
        <w:t>Review. PubMed PMID: 29963920.</w:t>
      </w:r>
    </w:p>
  </w:endnote>
  <w:endnote w:id="73">
    <w:p w14:paraId="5CC40DF3" w14:textId="399DC051" w:rsidR="00623475" w:rsidRPr="003427A6" w:rsidRDefault="00623475">
      <w:pPr>
        <w:pStyle w:val="af6"/>
      </w:pPr>
      <w:r w:rsidRPr="003427A6">
        <w:rPr>
          <w:rStyle w:val="af8"/>
        </w:rPr>
        <w:endnoteRef/>
      </w:r>
      <w:r w:rsidRPr="003427A6">
        <w:t xml:space="preserve"> Zinman B, Lachin JM and Inzucchi SE. Empagliflozin, Cardiovascular Outcomes, and Mortality in Type 2 Diabetes. The New England journal of medicine. 2016;374:1094.</w:t>
      </w:r>
    </w:p>
  </w:endnote>
  <w:endnote w:id="74">
    <w:p w14:paraId="3305FA92" w14:textId="1E0E572F" w:rsidR="00623475" w:rsidRPr="003427A6" w:rsidRDefault="00623475">
      <w:pPr>
        <w:pStyle w:val="af6"/>
      </w:pPr>
      <w:r w:rsidRPr="003427A6">
        <w:rPr>
          <w:rStyle w:val="af8"/>
        </w:rPr>
        <w:endnoteRef/>
      </w:r>
      <w:r w:rsidRPr="003427A6">
        <w:t xml:space="preserve"> Inzucchi S. SGLT2 inhibition and cardiovascular outcomes. EASD Virtual Meeting. 2016. http://www.easdvirtualmeeting.org/resources/sglt2-inhibition-and-cardiovascular-outcomes; Accessed May 23, 2017.</w:t>
      </w:r>
    </w:p>
  </w:endnote>
  <w:endnote w:id="75">
    <w:p w14:paraId="66B34E2D" w14:textId="77777777" w:rsidR="00623475" w:rsidRPr="003427A6" w:rsidRDefault="00623475" w:rsidP="009F5E69">
      <w:pPr>
        <w:pStyle w:val="af6"/>
      </w:pPr>
      <w:r w:rsidRPr="003427A6">
        <w:rPr>
          <w:rStyle w:val="af8"/>
        </w:rPr>
        <w:endnoteRef/>
      </w:r>
      <w:r w:rsidRPr="003427A6">
        <w:t xml:space="preserve"> Brown DW, Giles WH, Croft JB. Hematocrit and the risk of coronary heart</w:t>
      </w:r>
    </w:p>
    <w:p w14:paraId="4FBAFF24" w14:textId="07CAF768" w:rsidR="00623475" w:rsidRPr="003427A6" w:rsidRDefault="00623475" w:rsidP="009F5E69">
      <w:pPr>
        <w:pStyle w:val="af6"/>
      </w:pPr>
      <w:r w:rsidRPr="003427A6">
        <w:t>disease mortality. Am Heart J. 2001 Oct;142(4):657-63. PubMed PMID: 11579356.</w:t>
      </w:r>
    </w:p>
  </w:endnote>
  <w:endnote w:id="76">
    <w:p w14:paraId="4735B9C5" w14:textId="77777777" w:rsidR="00623475" w:rsidRPr="003427A6" w:rsidRDefault="00623475" w:rsidP="009F5E69">
      <w:pPr>
        <w:pStyle w:val="af6"/>
      </w:pPr>
      <w:r w:rsidRPr="003427A6">
        <w:rPr>
          <w:rStyle w:val="af8"/>
        </w:rPr>
        <w:endnoteRef/>
      </w:r>
      <w:r w:rsidRPr="003427A6">
        <w:t xml:space="preserve"> Lee G, Choi S, Kim K, Yun JM, Son JS, Jeong SM, Kim SM, Park SM. Association</w:t>
      </w:r>
    </w:p>
    <w:p w14:paraId="732499B9" w14:textId="77777777" w:rsidR="00623475" w:rsidRPr="003427A6" w:rsidRDefault="00623475" w:rsidP="009F5E69">
      <w:pPr>
        <w:pStyle w:val="af6"/>
      </w:pPr>
      <w:r w:rsidRPr="003427A6">
        <w:t>of Hemoglobin Concentration and Its Change With Cardiovascular and All-Cause</w:t>
      </w:r>
    </w:p>
    <w:p w14:paraId="5E2A4245" w14:textId="77777777" w:rsidR="00623475" w:rsidRPr="003427A6" w:rsidRDefault="00623475" w:rsidP="009F5E69">
      <w:pPr>
        <w:pStyle w:val="af6"/>
      </w:pPr>
      <w:r w:rsidRPr="003427A6">
        <w:t>Mortality. J Am Heart Assoc. 2018 Jan 29;7(3). pii: e007723. doi:</w:t>
      </w:r>
    </w:p>
    <w:p w14:paraId="72139DEE" w14:textId="163D38D8" w:rsidR="00623475" w:rsidRPr="003427A6" w:rsidRDefault="00623475" w:rsidP="009F5E69">
      <w:pPr>
        <w:pStyle w:val="af6"/>
      </w:pPr>
      <w:r w:rsidRPr="003427A6">
        <w:t>10.1161/JAHA.117.007723. PubMed PMID: 29378732; PubMed Central PMCID: PMC5850255.</w:t>
      </w:r>
    </w:p>
  </w:endnote>
  <w:endnote w:id="77">
    <w:p w14:paraId="62AE646E" w14:textId="56947048" w:rsidR="00623475" w:rsidRPr="003427A6" w:rsidRDefault="00623475">
      <w:pPr>
        <w:pStyle w:val="af6"/>
      </w:pPr>
      <w:r w:rsidRPr="003427A6">
        <w:rPr>
          <w:rStyle w:val="af8"/>
        </w:rPr>
        <w:endnoteRef/>
      </w:r>
      <w:r w:rsidRPr="003427A6">
        <w:t xml:space="preserve"> Sano M, Takei M, Shiraishi Y and Suzuki Y. Increased Hematocrit During Sodium-Glucose Cotransporter 2 Inhibitor Therapy Indicates Recovery of Tubulointerstitial Function in Diabetic Kidneys. J Clin Med Res. 2016;8:844-847.</w:t>
      </w:r>
    </w:p>
  </w:endnote>
  <w:endnote w:id="78">
    <w:p w14:paraId="185DE563" w14:textId="77777777" w:rsidR="00623475" w:rsidRPr="003427A6" w:rsidRDefault="00623475" w:rsidP="003115DA">
      <w:pPr>
        <w:pStyle w:val="af6"/>
      </w:pPr>
      <w:r w:rsidRPr="003427A6">
        <w:rPr>
          <w:rStyle w:val="af8"/>
        </w:rPr>
        <w:endnoteRef/>
      </w:r>
      <w:r w:rsidRPr="003427A6">
        <w:t xml:space="preserve"> Liu J, Guo X, Mohandas N, Chasis JA, An X. Membrane remodeling during</w:t>
      </w:r>
    </w:p>
    <w:p w14:paraId="6535D783" w14:textId="77777777" w:rsidR="00623475" w:rsidRPr="003427A6" w:rsidRDefault="00623475" w:rsidP="003115DA">
      <w:pPr>
        <w:pStyle w:val="af6"/>
      </w:pPr>
      <w:r w:rsidRPr="003427A6">
        <w:t>reticulocyte maturation. Blood. 2010 Mar 11;115(10):2021-7. doi:</w:t>
      </w:r>
    </w:p>
    <w:p w14:paraId="5D99A08B" w14:textId="77777777" w:rsidR="00623475" w:rsidRPr="003427A6" w:rsidRDefault="00623475" w:rsidP="003115DA">
      <w:pPr>
        <w:pStyle w:val="af6"/>
      </w:pPr>
      <w:r w:rsidRPr="003427A6">
        <w:t>10.1182/blood-2009-08-241182. Epub 2009 Dec 28. PubMed PMID: 20038785; PubMed</w:t>
      </w:r>
    </w:p>
    <w:p w14:paraId="4F56038B" w14:textId="69B0DA2C" w:rsidR="00623475" w:rsidRPr="003427A6" w:rsidRDefault="00623475" w:rsidP="003115DA">
      <w:pPr>
        <w:pStyle w:val="af6"/>
      </w:pPr>
      <w:r w:rsidRPr="003427A6">
        <w:t>Central PMCID: PMC2837329.</w:t>
      </w:r>
    </w:p>
  </w:endnote>
  <w:endnote w:id="79">
    <w:p w14:paraId="29588DD1" w14:textId="77777777" w:rsidR="00623475" w:rsidRPr="003427A6" w:rsidRDefault="00623475" w:rsidP="00377018">
      <w:pPr>
        <w:pStyle w:val="af6"/>
      </w:pPr>
      <w:r w:rsidRPr="003427A6">
        <w:rPr>
          <w:rStyle w:val="af8"/>
        </w:rPr>
        <w:endnoteRef/>
      </w:r>
      <w:r w:rsidRPr="003427A6">
        <w:t xml:space="preserve"> Zerbini G, Maestroni A, Mangili R, Pozza G. Amiloride-insensitive Na+-H+</w:t>
      </w:r>
    </w:p>
    <w:p w14:paraId="4545431F" w14:textId="77777777" w:rsidR="00623475" w:rsidRPr="003427A6" w:rsidRDefault="00623475" w:rsidP="00377018">
      <w:pPr>
        <w:pStyle w:val="af6"/>
      </w:pPr>
      <w:r w:rsidRPr="003427A6">
        <w:t xml:space="preserve">exchange: a candidate mediator of erythrocyte Na+-Li+ countertransport. J Am Soc </w:t>
      </w:r>
    </w:p>
    <w:p w14:paraId="4B7E6D1E" w14:textId="0D2CDEF2" w:rsidR="00623475" w:rsidRPr="003427A6" w:rsidRDefault="00623475" w:rsidP="00377018">
      <w:pPr>
        <w:pStyle w:val="af6"/>
      </w:pPr>
      <w:r w:rsidRPr="003427A6">
        <w:t>Nephrol. 1998 Dec;9(12):2203-11. PubMed PMID: 9848774.</w:t>
      </w:r>
    </w:p>
  </w:endnote>
  <w:endnote w:id="80">
    <w:p w14:paraId="7E32E4FA" w14:textId="2A10CFC6" w:rsidR="00623475" w:rsidRPr="003427A6" w:rsidRDefault="00623475">
      <w:pPr>
        <w:pStyle w:val="af6"/>
      </w:pPr>
      <w:r w:rsidRPr="003427A6">
        <w:rPr>
          <w:rStyle w:val="af8"/>
        </w:rPr>
        <w:endnoteRef/>
      </w:r>
      <w:r w:rsidRPr="003427A6">
        <w:t xml:space="preserve"> Chang YK, Choi H, Jeong JY, Na KR, Lee KW, Lim BJ and Choi DE. Dapagliflozin, SGLT2 Inhibitor, Attenuates Renal Ischemia-Reperfusion Injury. PloS one. 2016;11:e0158810.</w:t>
      </w:r>
    </w:p>
  </w:endnote>
  <w:endnote w:id="81">
    <w:p w14:paraId="6DD67C25" w14:textId="77777777" w:rsidR="00623475" w:rsidRPr="003427A6" w:rsidRDefault="00623475" w:rsidP="00A13EFD">
      <w:pPr>
        <w:pStyle w:val="af6"/>
      </w:pPr>
      <w:r w:rsidRPr="003427A6">
        <w:rPr>
          <w:rStyle w:val="af8"/>
        </w:rPr>
        <w:endnoteRef/>
      </w:r>
      <w:r w:rsidRPr="003427A6">
        <w:t xml:space="preserve"> Zinman B, Inzucchi SE, Lachin JM, Wanner C, Fitchett D, Kohler S, Mattheus M, </w:t>
      </w:r>
    </w:p>
    <w:p w14:paraId="58658343" w14:textId="77777777" w:rsidR="00623475" w:rsidRPr="003427A6" w:rsidRDefault="00623475" w:rsidP="00A13EFD">
      <w:pPr>
        <w:pStyle w:val="af6"/>
      </w:pPr>
      <w:r w:rsidRPr="003427A6">
        <w:t>Woerle HJ, Broedl UC, Johansen OE, Albers GW, Diener HC; EMPA-REG OUTCOME</w:t>
      </w:r>
    </w:p>
    <w:p w14:paraId="496989DD" w14:textId="77777777" w:rsidR="00623475" w:rsidRPr="003427A6" w:rsidRDefault="00623475" w:rsidP="00A13EFD">
      <w:pPr>
        <w:pStyle w:val="af6"/>
      </w:pPr>
      <w:r w:rsidRPr="003427A6">
        <w:t>Investigators (Empagliflozin Cardiovascular Outcome Event Trial in Type 2</w:t>
      </w:r>
    </w:p>
    <w:p w14:paraId="70DACC08" w14:textId="77777777" w:rsidR="00623475" w:rsidRPr="003427A6" w:rsidRDefault="00623475" w:rsidP="00A13EFD">
      <w:pPr>
        <w:pStyle w:val="af6"/>
      </w:pPr>
      <w:r w:rsidRPr="003427A6">
        <w:t>Diabetes Mellitus Patients). Empagliflozin and Cerebrovascular Events in Patients</w:t>
      </w:r>
    </w:p>
    <w:p w14:paraId="14D24C90" w14:textId="77777777" w:rsidR="00623475" w:rsidRPr="003427A6" w:rsidRDefault="00623475" w:rsidP="00A13EFD">
      <w:pPr>
        <w:pStyle w:val="af6"/>
      </w:pPr>
      <w:r w:rsidRPr="003427A6">
        <w:t>With Type 2 Diabetes Mellitus at High Cardiovascular Risk. Stroke. 2017</w:t>
      </w:r>
    </w:p>
    <w:p w14:paraId="62CFFB50" w14:textId="77777777" w:rsidR="00623475" w:rsidRPr="003427A6" w:rsidRDefault="00623475" w:rsidP="00A13EFD">
      <w:pPr>
        <w:pStyle w:val="af6"/>
      </w:pPr>
      <w:r w:rsidRPr="003427A6">
        <w:t>May;48(5):1218-1225. doi: 10.1161/STROKEAHA.116.015756. Epub 2017 Apr 6. PubMed</w:t>
      </w:r>
    </w:p>
    <w:p w14:paraId="3E04F0CE" w14:textId="3B568D84" w:rsidR="00623475" w:rsidRPr="003427A6" w:rsidRDefault="00623475">
      <w:pPr>
        <w:pStyle w:val="af6"/>
      </w:pPr>
      <w:r w:rsidRPr="003427A6">
        <w:t>PMID: 28386035; PubMed Central PMCID: PMC5404404.</w:t>
      </w:r>
    </w:p>
  </w:endnote>
  <w:endnote w:id="82">
    <w:p w14:paraId="28129252" w14:textId="55DE4A2F" w:rsidR="00623475" w:rsidRPr="003427A6" w:rsidRDefault="00623475">
      <w:pPr>
        <w:pStyle w:val="af6"/>
      </w:pPr>
      <w:r w:rsidRPr="003427A6">
        <w:rPr>
          <w:rStyle w:val="af8"/>
        </w:rPr>
        <w:endnoteRef/>
      </w:r>
      <w:r w:rsidRPr="003427A6">
        <w:t xml:space="preserve"> Cherney DZ, Perkins BA, Soleymanlou N, Har R, Fagan N, Johansen OE, Woerle HJ, von Eynatten M and Broedl UC. The effect of empagliflozin on arterial stiffness and heart rate variability in subjects with uncomplicated type 1 diabetes mellitus. Cardiovasc Diabetol. 2014;13:28.</w:t>
      </w:r>
    </w:p>
  </w:endnote>
  <w:endnote w:id="83">
    <w:p w14:paraId="324B03C2" w14:textId="75437FA0" w:rsidR="00623475" w:rsidRPr="003427A6" w:rsidRDefault="00623475">
      <w:pPr>
        <w:pStyle w:val="af6"/>
      </w:pPr>
      <w:r w:rsidRPr="003427A6">
        <w:rPr>
          <w:rStyle w:val="af8"/>
        </w:rPr>
        <w:endnoteRef/>
      </w:r>
      <w:r w:rsidRPr="003427A6">
        <w:t xml:space="preserve"> Chilton R, Tikkanen I, Cannon CP, Crowe S, Woerle HJ, Broedl UC and Johansen OE. Effects of empagliflozin on blood pressure and markers of arterial stiffness and vascular resistance in patients with type 2 diabetes. Diabetes, obesity &amp; metabolism. 2015;17:1180-93.</w:t>
      </w:r>
    </w:p>
  </w:endnote>
  <w:endnote w:id="84">
    <w:p w14:paraId="457EA4EE" w14:textId="77777777" w:rsidR="00623475" w:rsidRPr="003427A6" w:rsidRDefault="00623475" w:rsidP="007E7E7B">
      <w:pPr>
        <w:pStyle w:val="af6"/>
      </w:pPr>
      <w:r w:rsidRPr="003427A6">
        <w:rPr>
          <w:rStyle w:val="af8"/>
        </w:rPr>
        <w:endnoteRef/>
      </w:r>
      <w:r w:rsidRPr="003427A6">
        <w:t xml:space="preserve"> Soler C, Cragoe EJ Jr, Soley M. Effects of epidermal growth factor on</w:t>
      </w:r>
    </w:p>
    <w:p w14:paraId="268A233E" w14:textId="77777777" w:rsidR="00623475" w:rsidRPr="003427A6" w:rsidRDefault="00623475" w:rsidP="007E7E7B">
      <w:pPr>
        <w:pStyle w:val="af6"/>
      </w:pPr>
      <w:r w:rsidRPr="003427A6">
        <w:t>gluconeogenesis and cellular redox state do not require Na+/H+ exchange or</w:t>
      </w:r>
    </w:p>
    <w:p w14:paraId="1C76C0C4" w14:textId="77777777" w:rsidR="00623475" w:rsidRPr="003427A6" w:rsidRDefault="00623475" w:rsidP="007E7E7B">
      <w:pPr>
        <w:pStyle w:val="af6"/>
      </w:pPr>
      <w:r w:rsidRPr="003427A6">
        <w:t>Na+/K(+)-ATPase activities. Regul Pept. 1994 Jun 16;52(1):1-6. PubMed PMID:</w:t>
      </w:r>
    </w:p>
    <w:p w14:paraId="796287E7" w14:textId="12CDDE5F" w:rsidR="00623475" w:rsidRPr="003427A6" w:rsidRDefault="00623475" w:rsidP="007E7E7B">
      <w:pPr>
        <w:pStyle w:val="af6"/>
      </w:pPr>
      <w:r w:rsidRPr="003427A6">
        <w:t>7972927.</w:t>
      </w:r>
    </w:p>
  </w:endnote>
  <w:endnote w:id="85">
    <w:p w14:paraId="1655E975" w14:textId="133635C1" w:rsidR="00623475" w:rsidRPr="003427A6" w:rsidRDefault="00623475">
      <w:pPr>
        <w:pStyle w:val="af6"/>
      </w:pPr>
      <w:r w:rsidRPr="003427A6">
        <w:rPr>
          <w:rStyle w:val="af8"/>
        </w:rPr>
        <w:endnoteRef/>
      </w:r>
      <w:r w:rsidRPr="003427A6">
        <w:t xml:space="preserve"> Ferrannini E, Baldi S, Frascerra S, Astiarraga B, Heise T, Bizzotto R, Mari A, Pieber TR and Muscelli E. Shift to Fatty Substrate Utilization in Response to Sodium-Glucose Cotransporter 2 Inhibition in Subjects Without Diabetes and Patients With Type 2 Diabetes. Diabetes. 2016;65:1190-5.</w:t>
      </w:r>
    </w:p>
  </w:endnote>
  <w:endnote w:id="86">
    <w:p w14:paraId="2A6067FA" w14:textId="7271EDA3" w:rsidR="00623475" w:rsidRPr="003427A6" w:rsidRDefault="00623475">
      <w:pPr>
        <w:pStyle w:val="af6"/>
      </w:pPr>
      <w:r w:rsidRPr="003427A6">
        <w:rPr>
          <w:rStyle w:val="af8"/>
        </w:rPr>
        <w:endnoteRef/>
      </w:r>
      <w:r w:rsidRPr="003427A6">
        <w:t xml:space="preserve"> Ferrannini E, Mark M and Mayoux E. CV Protection in the EMPA-REG OUTCOME Trial: A "Thrifty Substrate" Hypothesis. Diabetes Care. 2016;39:1108-14.</w:t>
      </w:r>
    </w:p>
  </w:endnote>
  <w:endnote w:id="87">
    <w:p w14:paraId="7C2CF9DE" w14:textId="4935408B" w:rsidR="00623475" w:rsidRPr="003427A6" w:rsidRDefault="00623475">
      <w:pPr>
        <w:pStyle w:val="af6"/>
      </w:pPr>
      <w:r w:rsidRPr="003427A6">
        <w:rPr>
          <w:rStyle w:val="af8"/>
        </w:rPr>
        <w:endnoteRef/>
      </w:r>
      <w:r w:rsidRPr="003427A6">
        <w:t xml:space="preserve"> Mudaliar S, Alloju S and Henry RR. Can a Shift in Fuel Energetics Explain the Beneficial Cardiorenal Outcomes in the EMPA-REG OUTCOME Study? A Unifying Hypothesis. Diabetes Care. 2016;39:1115-22.</w:t>
      </w:r>
    </w:p>
  </w:endnote>
  <w:endnote w:id="88">
    <w:p w14:paraId="17248051" w14:textId="1FD6CDA2" w:rsidR="00623475" w:rsidRPr="003427A6" w:rsidRDefault="00623475">
      <w:pPr>
        <w:pStyle w:val="af6"/>
      </w:pPr>
      <w:r w:rsidRPr="003427A6">
        <w:rPr>
          <w:rStyle w:val="af8"/>
        </w:rPr>
        <w:endnoteRef/>
      </w:r>
      <w:r w:rsidRPr="003427A6">
        <w:t xml:space="preserve"> Lopaschuk GD and Verma S. Empagliflozin's Fuel Hypothesis: Not so Soon. Cell Metab. 2016;24:200-2.</w:t>
      </w:r>
    </w:p>
  </w:endnote>
  <w:endnote w:id="89">
    <w:p w14:paraId="2EA3897A" w14:textId="77777777" w:rsidR="00623475" w:rsidRPr="003427A6" w:rsidRDefault="00623475" w:rsidP="00477A10">
      <w:pPr>
        <w:pStyle w:val="af6"/>
      </w:pPr>
      <w:r w:rsidRPr="003427A6">
        <w:rPr>
          <w:rStyle w:val="af8"/>
        </w:rPr>
        <w:endnoteRef/>
      </w:r>
      <w:r w:rsidRPr="003427A6">
        <w:t xml:space="preserve"> Rose KL, Watson AJ, Drysdale TA, Cepinskas G, Chan M, Rupar CA, Fraser DD.</w:t>
      </w:r>
    </w:p>
    <w:p w14:paraId="52DDCE82" w14:textId="77777777" w:rsidR="00623475" w:rsidRPr="003427A6" w:rsidRDefault="00623475" w:rsidP="00477A10">
      <w:pPr>
        <w:pStyle w:val="af6"/>
      </w:pPr>
      <w:r w:rsidRPr="003427A6">
        <w:t xml:space="preserve">Simulated diabetic ketoacidosis therapy in vitro elicits brain cell swelling via </w:t>
      </w:r>
    </w:p>
    <w:p w14:paraId="22482C1E" w14:textId="77777777" w:rsidR="00623475" w:rsidRPr="003427A6" w:rsidRDefault="00623475" w:rsidP="00477A10">
      <w:pPr>
        <w:pStyle w:val="af6"/>
      </w:pPr>
      <w:r w:rsidRPr="003427A6">
        <w:t>sodium-hydrogen exchange and anion transport. Am J Physiol Endocrinol Metab. 2015</w:t>
      </w:r>
    </w:p>
    <w:p w14:paraId="45D13B09" w14:textId="77777777" w:rsidR="00623475" w:rsidRPr="003427A6" w:rsidRDefault="00623475" w:rsidP="00477A10">
      <w:pPr>
        <w:pStyle w:val="af6"/>
      </w:pPr>
      <w:r w:rsidRPr="003427A6">
        <w:t>Aug 15;309(4):E370-9. doi: 10.1152/ajpendo.00107.2015. Epub 2015 Jun 16. PubMed</w:t>
      </w:r>
    </w:p>
    <w:p w14:paraId="1273DE83" w14:textId="06D2B4B2" w:rsidR="00623475" w:rsidRPr="003427A6" w:rsidRDefault="00623475" w:rsidP="00477A10">
      <w:pPr>
        <w:pStyle w:val="af6"/>
      </w:pPr>
      <w:r w:rsidRPr="003427A6">
        <w:t>PMID: 26081282.</w:t>
      </w:r>
    </w:p>
  </w:endnote>
  <w:endnote w:id="90">
    <w:p w14:paraId="1F3803AE" w14:textId="77777777" w:rsidR="00623475" w:rsidRPr="003427A6" w:rsidRDefault="00623475" w:rsidP="00954575">
      <w:pPr>
        <w:pStyle w:val="af6"/>
      </w:pPr>
      <w:r w:rsidRPr="003427A6">
        <w:rPr>
          <w:rStyle w:val="af8"/>
        </w:rPr>
        <w:endnoteRef/>
      </w:r>
      <w:r w:rsidRPr="003427A6">
        <w:t xml:space="preserve"> Blair HC, Larrouture QC, Tourkova IL, Liu L, Bian JH, Stolz DB, Nelson DJ,</w:t>
      </w:r>
    </w:p>
    <w:p w14:paraId="42F1E7E1" w14:textId="77777777" w:rsidR="00623475" w:rsidRPr="003427A6" w:rsidRDefault="00623475" w:rsidP="00954575">
      <w:pPr>
        <w:pStyle w:val="af6"/>
      </w:pPr>
      <w:r w:rsidRPr="003427A6">
        <w:t>Schlesinger PH. Support of bone mineral deposition by regulation of pH. Am J</w:t>
      </w:r>
    </w:p>
    <w:p w14:paraId="55596905" w14:textId="77777777" w:rsidR="00623475" w:rsidRPr="003427A6" w:rsidRDefault="00623475" w:rsidP="00954575">
      <w:pPr>
        <w:pStyle w:val="af6"/>
      </w:pPr>
      <w:r w:rsidRPr="003427A6">
        <w:t>Physiol Cell Physiol. 2018 Oct 1;315(4):C587-C597. doi:</w:t>
      </w:r>
    </w:p>
    <w:p w14:paraId="621ECD31" w14:textId="77777777" w:rsidR="00623475" w:rsidRPr="003427A6" w:rsidRDefault="00623475" w:rsidP="00954575">
      <w:pPr>
        <w:pStyle w:val="af6"/>
      </w:pPr>
      <w:r w:rsidRPr="003427A6">
        <w:t>10.1152/ajpcell.00056.2018. Epub 2018 Jul 25. PubMed PMID: 30044661; PubMed</w:t>
      </w:r>
    </w:p>
    <w:p w14:paraId="276BFB8C" w14:textId="52B2AB9D" w:rsidR="00623475" w:rsidRPr="003427A6" w:rsidRDefault="00623475" w:rsidP="00954575">
      <w:pPr>
        <w:pStyle w:val="af6"/>
      </w:pPr>
      <w:r w:rsidRPr="003427A6">
        <w:t>Central PMCID: PMC6230682</w:t>
      </w:r>
    </w:p>
  </w:endnote>
  <w:endnote w:id="91">
    <w:p w14:paraId="7E21BE02" w14:textId="77777777" w:rsidR="00623475" w:rsidRPr="003427A6" w:rsidRDefault="00623475" w:rsidP="00CF7CEA">
      <w:pPr>
        <w:pStyle w:val="af6"/>
      </w:pPr>
      <w:r w:rsidRPr="003427A6">
        <w:rPr>
          <w:rStyle w:val="af8"/>
        </w:rPr>
        <w:endnoteRef/>
      </w:r>
      <w:r w:rsidRPr="003427A6">
        <w:t xml:space="preserve"> Ljunggren Ö, Bolinder J, Johansson L, Wilding J, Langkilde AM, Sjöström CD,</w:t>
      </w:r>
    </w:p>
    <w:p w14:paraId="6F833FD2" w14:textId="77777777" w:rsidR="00623475" w:rsidRPr="003427A6" w:rsidRDefault="00623475" w:rsidP="00CF7CEA">
      <w:pPr>
        <w:pStyle w:val="af6"/>
      </w:pPr>
      <w:r w:rsidRPr="003427A6">
        <w:t>Sugg J, Parikh S. Dapagliflozin has no effect on markers of bone formation and</w:t>
      </w:r>
    </w:p>
    <w:p w14:paraId="1934471D" w14:textId="77777777" w:rsidR="00623475" w:rsidRPr="003427A6" w:rsidRDefault="00623475" w:rsidP="00CF7CEA">
      <w:pPr>
        <w:pStyle w:val="af6"/>
      </w:pPr>
      <w:r w:rsidRPr="003427A6">
        <w:t xml:space="preserve">resorption or bone mineral density in patients with inadequately controlled type </w:t>
      </w:r>
    </w:p>
    <w:p w14:paraId="0598E5B3" w14:textId="77777777" w:rsidR="00623475" w:rsidRPr="003427A6" w:rsidRDefault="00623475" w:rsidP="00CF7CEA">
      <w:pPr>
        <w:pStyle w:val="af6"/>
      </w:pPr>
      <w:r w:rsidRPr="003427A6">
        <w:t>2 diabetes mellitus on metformin. Diabetes Obes Metab. 2012 Nov;14(11):990-9.</w:t>
      </w:r>
    </w:p>
    <w:p w14:paraId="79C56A0C" w14:textId="55B0C66A" w:rsidR="00623475" w:rsidRPr="003427A6" w:rsidRDefault="00623475" w:rsidP="00CF7CEA">
      <w:pPr>
        <w:pStyle w:val="af6"/>
      </w:pPr>
      <w:r w:rsidRPr="003427A6">
        <w:t>doi: 10.1111/j.1463-1326.2012.01630.x. Epub 2012 Jun 29. PubMed PMID: 22651373.</w:t>
      </w:r>
    </w:p>
  </w:endnote>
  <w:endnote w:id="92">
    <w:p w14:paraId="1EEB5E3B" w14:textId="77777777" w:rsidR="00623475" w:rsidRPr="003427A6" w:rsidRDefault="00623475" w:rsidP="00404F2C">
      <w:pPr>
        <w:pStyle w:val="af6"/>
      </w:pPr>
      <w:r w:rsidRPr="003427A6">
        <w:rPr>
          <w:rStyle w:val="af8"/>
        </w:rPr>
        <w:endnoteRef/>
      </w:r>
      <w:r w:rsidRPr="003427A6">
        <w:t xml:space="preserve"> Bilezikian JP, Watts NB, Usiskin K, Polidori D, Fung A, Sullivan D, Rosenthal </w:t>
      </w:r>
    </w:p>
    <w:p w14:paraId="468AB51B" w14:textId="77777777" w:rsidR="00623475" w:rsidRPr="003427A6" w:rsidRDefault="00623475" w:rsidP="00404F2C">
      <w:pPr>
        <w:pStyle w:val="af6"/>
      </w:pPr>
      <w:r w:rsidRPr="003427A6">
        <w:t>N. Evaluation of Bone Mineral Density and Bone Biomarkers in Patients With Type 2</w:t>
      </w:r>
    </w:p>
    <w:p w14:paraId="5252A513" w14:textId="77777777" w:rsidR="00623475" w:rsidRPr="003427A6" w:rsidRDefault="00623475" w:rsidP="00404F2C">
      <w:pPr>
        <w:pStyle w:val="af6"/>
      </w:pPr>
      <w:r w:rsidRPr="003427A6">
        <w:t>Diabetes Treated With Canagliflozin. J Clin Endocrinol Metab. 2016</w:t>
      </w:r>
    </w:p>
    <w:p w14:paraId="4793A2B1" w14:textId="77777777" w:rsidR="00623475" w:rsidRPr="003427A6" w:rsidRDefault="00623475" w:rsidP="00404F2C">
      <w:pPr>
        <w:pStyle w:val="af6"/>
      </w:pPr>
      <w:r w:rsidRPr="003427A6">
        <w:t>Jan;101(1):44-51. doi: 10.1210/jc.2015-1860. Epub 2015 Nov 18. PubMed PMID:</w:t>
      </w:r>
    </w:p>
    <w:p w14:paraId="453E282C" w14:textId="05D54382" w:rsidR="00623475" w:rsidRPr="003427A6" w:rsidRDefault="00623475" w:rsidP="00404F2C">
      <w:pPr>
        <w:pStyle w:val="af6"/>
      </w:pPr>
      <w:r w:rsidRPr="003427A6">
        <w:t>26580234; PubMed Central PMCID: PMC4701848.</w:t>
      </w:r>
    </w:p>
  </w:endnote>
  <w:endnote w:id="93">
    <w:p w14:paraId="1178A38F" w14:textId="77777777" w:rsidR="00623475" w:rsidRPr="003427A6" w:rsidRDefault="00623475" w:rsidP="00CF7CEA">
      <w:pPr>
        <w:pStyle w:val="af6"/>
      </w:pPr>
      <w:r w:rsidRPr="003427A6">
        <w:rPr>
          <w:rStyle w:val="af8"/>
        </w:rPr>
        <w:endnoteRef/>
      </w:r>
      <w:r w:rsidRPr="003427A6">
        <w:t xml:space="preserve"> Blau JE, Bauman V, Conway EM, Piaggi P, Walter MF, Wright EC, Bernstein S,</w:t>
      </w:r>
    </w:p>
    <w:p w14:paraId="5C27714D" w14:textId="77777777" w:rsidR="00623475" w:rsidRPr="003427A6" w:rsidRDefault="00623475" w:rsidP="00CF7CEA">
      <w:pPr>
        <w:pStyle w:val="af6"/>
      </w:pPr>
      <w:r w:rsidRPr="003427A6">
        <w:t>Courville AB, Collins MT, Rother KI, Taylor SI. Canagliflozin triggers the</w:t>
      </w:r>
    </w:p>
    <w:p w14:paraId="70327455" w14:textId="77777777" w:rsidR="00623475" w:rsidRPr="003427A6" w:rsidRDefault="00623475" w:rsidP="00CF7CEA">
      <w:pPr>
        <w:pStyle w:val="af6"/>
      </w:pPr>
      <w:r w:rsidRPr="003427A6">
        <w:t>FGF23/1,25-dihydroxyvitamin D/PTH axis in healthy volunteers in a randomized</w:t>
      </w:r>
    </w:p>
    <w:p w14:paraId="5AA5C728" w14:textId="77777777" w:rsidR="00623475" w:rsidRPr="003427A6" w:rsidRDefault="00623475" w:rsidP="00CF7CEA">
      <w:pPr>
        <w:pStyle w:val="af6"/>
      </w:pPr>
      <w:r w:rsidRPr="003427A6">
        <w:t>crossover study. JCI Insight. 2018 Apr 19;3(8). pii: 99123. doi:</w:t>
      </w:r>
    </w:p>
    <w:p w14:paraId="24D62120" w14:textId="77777777" w:rsidR="00623475" w:rsidRPr="003427A6" w:rsidRDefault="00623475" w:rsidP="00CF7CEA">
      <w:pPr>
        <w:pStyle w:val="af6"/>
      </w:pPr>
      <w:r w:rsidRPr="003427A6">
        <w:t>10.1172/jci.insight.99123. [Epub ahead of print] PubMed PMID: 29669938; PubMed</w:t>
      </w:r>
    </w:p>
    <w:p w14:paraId="3021F071" w14:textId="45C18910" w:rsidR="00623475" w:rsidRPr="003427A6" w:rsidRDefault="00623475" w:rsidP="00CF7CEA">
      <w:pPr>
        <w:pStyle w:val="af6"/>
      </w:pPr>
      <w:r w:rsidRPr="003427A6">
        <w:t>Central PMCID: PMC5931122.</w:t>
      </w:r>
    </w:p>
  </w:endnote>
  <w:endnote w:id="94">
    <w:p w14:paraId="58C8E1ED" w14:textId="77777777" w:rsidR="00623475" w:rsidRPr="003427A6" w:rsidRDefault="00623475" w:rsidP="00404F2C">
      <w:pPr>
        <w:pStyle w:val="af6"/>
      </w:pPr>
      <w:r w:rsidRPr="003427A6">
        <w:rPr>
          <w:rStyle w:val="af8"/>
        </w:rPr>
        <w:endnoteRef/>
      </w:r>
      <w:r w:rsidRPr="003427A6">
        <w:t xml:space="preserve"> FDA Briefing Document: Endocrine and Metabolic Drug Advisory Committee Meeting Empagliflozin. Food and Drug Administration.</w:t>
      </w:r>
    </w:p>
    <w:p w14:paraId="6C3377CA" w14:textId="2D9027C0" w:rsidR="00623475" w:rsidRPr="003427A6" w:rsidRDefault="00623475" w:rsidP="00404F2C">
      <w:pPr>
        <w:pStyle w:val="af6"/>
      </w:pPr>
      <w:r w:rsidRPr="003427A6">
        <w:t>https://www.fda.gov/downloads/AdvisoryCommittees/UCM508422.pdf. Published June 28, 2016.</w:t>
      </w:r>
    </w:p>
  </w:endnote>
  <w:endnote w:id="95">
    <w:p w14:paraId="7AFEB623" w14:textId="21A94F3E" w:rsidR="00623475" w:rsidRPr="003427A6" w:rsidRDefault="00623475">
      <w:pPr>
        <w:pStyle w:val="af6"/>
      </w:pPr>
      <w:r w:rsidRPr="003427A6">
        <w:rPr>
          <w:rStyle w:val="af8"/>
        </w:rPr>
        <w:endnoteRef/>
      </w:r>
      <w:r w:rsidRPr="003427A6">
        <w:t xml:space="preserve"> Invokana and Invokamet (canagliflozin): Drug Safety Communication - New Information on Bone Fracture Risk and Decreased Bone Mineral Density. Food and Drug Administration. https://www.fda.gov/Drugs/DrugSafety/ucm461449.htm. Access April 13, 2018.</w:t>
      </w:r>
    </w:p>
  </w:endnote>
  <w:endnote w:id="96">
    <w:p w14:paraId="0CCF1824" w14:textId="77777777" w:rsidR="00623475" w:rsidRPr="003427A6" w:rsidRDefault="00623475" w:rsidP="00093A03">
      <w:pPr>
        <w:pStyle w:val="af6"/>
      </w:pPr>
      <w:r w:rsidRPr="003427A6">
        <w:rPr>
          <w:rStyle w:val="af8"/>
        </w:rPr>
        <w:endnoteRef/>
      </w:r>
      <w:r w:rsidRPr="003427A6">
        <w:t xml:space="preserve"> Watts NB, Bilezikian JP, Usiskin K, Edwards R, Desai M, Law G, Meininger G.</w:t>
      </w:r>
    </w:p>
    <w:p w14:paraId="7FDDD366" w14:textId="77777777" w:rsidR="00623475" w:rsidRPr="003427A6" w:rsidRDefault="00623475" w:rsidP="00093A03">
      <w:pPr>
        <w:pStyle w:val="af6"/>
      </w:pPr>
      <w:r w:rsidRPr="003427A6">
        <w:t>Effects of Canagliflozin on Fracture Risk in Patients With Type 2 Diabetes</w:t>
      </w:r>
    </w:p>
    <w:p w14:paraId="7C03E457" w14:textId="77777777" w:rsidR="00623475" w:rsidRPr="003427A6" w:rsidRDefault="00623475" w:rsidP="00093A03">
      <w:pPr>
        <w:pStyle w:val="af6"/>
      </w:pPr>
      <w:r w:rsidRPr="003427A6">
        <w:t>Mellitus. J Clin Endocrinol Metab. 2016 Jan;101(1):157-66. doi:</w:t>
      </w:r>
    </w:p>
    <w:p w14:paraId="3C5BDA36" w14:textId="77777777" w:rsidR="00623475" w:rsidRPr="003427A6" w:rsidRDefault="00623475" w:rsidP="00093A03">
      <w:pPr>
        <w:pStyle w:val="af6"/>
      </w:pPr>
      <w:r w:rsidRPr="003427A6">
        <w:t>10.1210/jc.2015-3167. Epub 2015 Nov 18. PubMed PMID: 26580237; PubMed Central</w:t>
      </w:r>
    </w:p>
    <w:p w14:paraId="426350E5" w14:textId="2ACF2628" w:rsidR="00623475" w:rsidRPr="003427A6" w:rsidRDefault="00623475" w:rsidP="00093A03">
      <w:pPr>
        <w:pStyle w:val="af6"/>
      </w:pPr>
      <w:r w:rsidRPr="003427A6">
        <w:t>PMCID: PMC4701850.</w:t>
      </w:r>
    </w:p>
  </w:endnote>
  <w:endnote w:id="97">
    <w:p w14:paraId="165D449D" w14:textId="77777777" w:rsidR="00B764D6" w:rsidRPr="003427A6" w:rsidRDefault="00B764D6" w:rsidP="00B764D6">
      <w:pPr>
        <w:pStyle w:val="af6"/>
      </w:pPr>
      <w:r w:rsidRPr="003427A6">
        <w:rPr>
          <w:rStyle w:val="af8"/>
        </w:rPr>
        <w:endnoteRef/>
      </w:r>
      <w:r w:rsidRPr="003427A6">
        <w:t xml:space="preserve"> Castañeda-Corral G, Rocha-González HI, Araiza-Saldaña CI, Vidal-Cantú GC,</w:t>
      </w:r>
    </w:p>
    <w:p w14:paraId="131DECF1" w14:textId="77777777" w:rsidR="00B764D6" w:rsidRPr="003427A6" w:rsidRDefault="00B764D6" w:rsidP="00B764D6">
      <w:pPr>
        <w:pStyle w:val="af6"/>
      </w:pPr>
      <w:r w:rsidRPr="003427A6">
        <w:t>Miguel Jiménez-Andrade J, Murbartián J, Granados-Soto V. Blockade of peripheral</w:t>
      </w:r>
    </w:p>
    <w:p w14:paraId="7E178BF9" w14:textId="77777777" w:rsidR="00B764D6" w:rsidRPr="003427A6" w:rsidRDefault="00B764D6" w:rsidP="00B764D6">
      <w:pPr>
        <w:pStyle w:val="af6"/>
      </w:pPr>
      <w:r w:rsidRPr="003427A6">
        <w:t>and spinal Na+/H+ exchanger increases formalin-induced long-lasting mechanical</w:t>
      </w:r>
    </w:p>
    <w:p w14:paraId="6861D906" w14:textId="77777777" w:rsidR="00B764D6" w:rsidRPr="003427A6" w:rsidRDefault="00B764D6" w:rsidP="00B764D6">
      <w:pPr>
        <w:pStyle w:val="af6"/>
      </w:pPr>
      <w:r w:rsidRPr="003427A6">
        <w:t>allodynia and hyperalgesia in rats. Brain Res. 2012 Sep 26;1475:19-30. doi:</w:t>
      </w:r>
    </w:p>
    <w:p w14:paraId="1CDA4630" w14:textId="0CCFA7E7" w:rsidR="00B764D6" w:rsidRPr="003427A6" w:rsidRDefault="00B764D6" w:rsidP="00B764D6">
      <w:pPr>
        <w:pStyle w:val="af6"/>
      </w:pPr>
      <w:r w:rsidRPr="003427A6">
        <w:t>10.1016/j.brainres.2012.08.001. Epub 2012 Aug 8. PubMed PMID: 22898152.</w:t>
      </w:r>
    </w:p>
  </w:endnote>
  <w:endnote w:id="98">
    <w:p w14:paraId="4BA131B8" w14:textId="77777777" w:rsidR="00623475" w:rsidRPr="003427A6" w:rsidRDefault="00623475" w:rsidP="00445522">
      <w:pPr>
        <w:pStyle w:val="af6"/>
      </w:pPr>
      <w:r w:rsidRPr="003427A6">
        <w:rPr>
          <w:rStyle w:val="af8"/>
        </w:rPr>
        <w:endnoteRef/>
      </w:r>
      <w:r w:rsidRPr="003427A6">
        <w:t xml:space="preserve"> Kumar S, Costello AJ, Colman PG. Fournier's gangrene in a man on empagliflozin</w:t>
      </w:r>
    </w:p>
    <w:p w14:paraId="01FD3E55" w14:textId="77777777" w:rsidR="00623475" w:rsidRPr="003427A6" w:rsidRDefault="00623475" w:rsidP="00445522">
      <w:pPr>
        <w:pStyle w:val="af6"/>
      </w:pPr>
      <w:r w:rsidRPr="003427A6">
        <w:t>for treatment of Type 2 diabetes. Diabet Med. 2017 Nov;34(11):1646-1648. doi:</w:t>
      </w:r>
    </w:p>
    <w:p w14:paraId="1807917F" w14:textId="6B4CF83A" w:rsidR="00623475" w:rsidRPr="003427A6" w:rsidRDefault="00623475" w:rsidP="00445522">
      <w:pPr>
        <w:pStyle w:val="af6"/>
      </w:pPr>
      <w:r w:rsidRPr="003427A6">
        <w:t>10.1111/dme.13508. PubMed PMID: 28887847</w:t>
      </w:r>
    </w:p>
  </w:endnote>
  <w:endnote w:id="99">
    <w:p w14:paraId="7DAE4302" w14:textId="77777777" w:rsidR="00623475" w:rsidRPr="003427A6" w:rsidRDefault="00623475" w:rsidP="00834812">
      <w:pPr>
        <w:pStyle w:val="af6"/>
      </w:pPr>
      <w:r w:rsidRPr="003427A6">
        <w:rPr>
          <w:rStyle w:val="af8"/>
        </w:rPr>
        <w:endnoteRef/>
      </w:r>
      <w:r w:rsidRPr="003427A6">
        <w:t xml:space="preserve"> Ohgaki R, Wei L, Yamada K, Hara T, Kuriyama C, Okuda S, Ueta K, Shiotani M,</w:t>
      </w:r>
    </w:p>
    <w:p w14:paraId="214DA7FA" w14:textId="77777777" w:rsidR="00623475" w:rsidRPr="003427A6" w:rsidRDefault="00623475" w:rsidP="00834812">
      <w:pPr>
        <w:pStyle w:val="af6"/>
      </w:pPr>
      <w:r w:rsidRPr="003427A6">
        <w:t>Nagamori S, Kanai Y. Interaction of the Sodium/Glucose Cotransporter (SGLT) 2</w:t>
      </w:r>
    </w:p>
    <w:p w14:paraId="3B31EC3A" w14:textId="77777777" w:rsidR="00623475" w:rsidRPr="003427A6" w:rsidRDefault="00623475" w:rsidP="00834812">
      <w:pPr>
        <w:pStyle w:val="af6"/>
      </w:pPr>
      <w:r w:rsidRPr="003427A6">
        <w:t>inhibitor Canagliflozin with SGLT1 and SGLT2. J Pharmacol Exp Ther. 2016</w:t>
      </w:r>
    </w:p>
    <w:p w14:paraId="05402EB6" w14:textId="77777777" w:rsidR="00623475" w:rsidRPr="003427A6" w:rsidRDefault="00623475" w:rsidP="00834812">
      <w:pPr>
        <w:pStyle w:val="af6"/>
      </w:pPr>
      <w:r w:rsidRPr="003427A6">
        <w:t>Jul;358(1):94-102. doi: 10.1124/jpet.116.232025. Epub 2016 Apr 27. PubMed PMID:</w:t>
      </w:r>
    </w:p>
    <w:p w14:paraId="5623BE70" w14:textId="0A4CB418" w:rsidR="00623475" w:rsidRPr="003427A6" w:rsidRDefault="00623475" w:rsidP="00834812">
      <w:pPr>
        <w:pStyle w:val="af6"/>
      </w:pPr>
      <w:r w:rsidRPr="003427A6">
        <w:t>27189972.</w:t>
      </w:r>
    </w:p>
  </w:endnote>
  <w:endnote w:id="100">
    <w:p w14:paraId="39B8F3EC" w14:textId="77777777" w:rsidR="00623475" w:rsidRPr="003427A6" w:rsidRDefault="00623475" w:rsidP="00F42831">
      <w:pPr>
        <w:pStyle w:val="af6"/>
      </w:pPr>
      <w:r w:rsidRPr="003427A6">
        <w:rPr>
          <w:rStyle w:val="af8"/>
        </w:rPr>
        <w:endnoteRef/>
      </w:r>
      <w:r w:rsidRPr="003427A6">
        <w:t xml:space="preserve"> Mudaliar S, Polidori D, Zambrowicz B, Henry RR. Sodium-Glucose Cotransporter</w:t>
      </w:r>
    </w:p>
    <w:p w14:paraId="07727C41" w14:textId="77777777" w:rsidR="00623475" w:rsidRPr="003427A6" w:rsidRDefault="00623475" w:rsidP="00F42831">
      <w:pPr>
        <w:pStyle w:val="af6"/>
      </w:pPr>
      <w:r w:rsidRPr="003427A6">
        <w:t>Inhibitors: Effects on Renal and Intestinal Glucose Transport: From Bench to</w:t>
      </w:r>
    </w:p>
    <w:p w14:paraId="4E158315" w14:textId="77777777" w:rsidR="00623475" w:rsidRPr="003427A6" w:rsidRDefault="00623475" w:rsidP="00F42831">
      <w:pPr>
        <w:pStyle w:val="af6"/>
      </w:pPr>
      <w:r w:rsidRPr="003427A6">
        <w:t xml:space="preserve">Bedside. Diabetes Care. 2015 Dec;38(12):2344-53. doi: 10.2337/dc15-0642. Review. </w:t>
      </w:r>
    </w:p>
    <w:p w14:paraId="68FFE329" w14:textId="2A52A2AF" w:rsidR="00623475" w:rsidRPr="003427A6" w:rsidRDefault="00623475" w:rsidP="00F42831">
      <w:pPr>
        <w:pStyle w:val="af6"/>
      </w:pPr>
      <w:r w:rsidRPr="003427A6">
        <w:t>PubMed PMID: 26604280.</w:t>
      </w:r>
    </w:p>
  </w:endnote>
  <w:endnote w:id="101">
    <w:p w14:paraId="11B0CB1B" w14:textId="77777777" w:rsidR="00623475" w:rsidRPr="003427A6" w:rsidRDefault="00623475" w:rsidP="00B106AB">
      <w:pPr>
        <w:pStyle w:val="af6"/>
      </w:pPr>
      <w:r w:rsidRPr="003427A6">
        <w:rPr>
          <w:rStyle w:val="af8"/>
        </w:rPr>
        <w:endnoteRef/>
      </w:r>
      <w:r w:rsidRPr="003427A6">
        <w:t xml:space="preserve"> Zelniker TA, Wiviott SD, Raz I, Im K, Goodrich EL, Bonaca MP, Mosenzon O, Kato</w:t>
      </w:r>
    </w:p>
    <w:p w14:paraId="466C8960" w14:textId="77777777" w:rsidR="00623475" w:rsidRPr="003427A6" w:rsidRDefault="00623475" w:rsidP="00B106AB">
      <w:pPr>
        <w:pStyle w:val="af6"/>
      </w:pPr>
      <w:r w:rsidRPr="003427A6">
        <w:t>ET, Cahn A, Furtado RHM, Bhatt DL, Leiter LA, McGuire DK, Wilding JPH, Sabatine</w:t>
      </w:r>
    </w:p>
    <w:p w14:paraId="4CDEF50D" w14:textId="77777777" w:rsidR="00623475" w:rsidRPr="003427A6" w:rsidRDefault="00623475" w:rsidP="00B106AB">
      <w:pPr>
        <w:pStyle w:val="af6"/>
      </w:pPr>
      <w:r w:rsidRPr="003427A6">
        <w:t>MS. SGLT2 inhibitors for primary and secondary prevention of cardiovascular and</w:t>
      </w:r>
    </w:p>
    <w:p w14:paraId="206BD103" w14:textId="77777777" w:rsidR="00623475" w:rsidRPr="003427A6" w:rsidRDefault="00623475" w:rsidP="00B106AB">
      <w:pPr>
        <w:pStyle w:val="af6"/>
      </w:pPr>
      <w:r w:rsidRPr="003427A6">
        <w:t>renal outcomes in type 2 diabetes: a systematic review and meta-analysis of</w:t>
      </w:r>
    </w:p>
    <w:p w14:paraId="633E1909" w14:textId="77777777" w:rsidR="00623475" w:rsidRPr="003427A6" w:rsidRDefault="00623475" w:rsidP="00B106AB">
      <w:pPr>
        <w:pStyle w:val="af6"/>
      </w:pPr>
      <w:r w:rsidRPr="003427A6">
        <w:t>cardiovascular outcome trials. Lancet. 2018 Nov 9. pii: S0140-6736(18)32590-X.</w:t>
      </w:r>
    </w:p>
    <w:p w14:paraId="605349E8" w14:textId="77777777" w:rsidR="00623475" w:rsidRPr="003427A6" w:rsidRDefault="00623475" w:rsidP="00B106AB">
      <w:pPr>
        <w:pStyle w:val="af6"/>
      </w:pPr>
      <w:r w:rsidRPr="003427A6">
        <w:t>doi: 10.1016/S0140-6736(18)32590-X. [Epub ahead of print] PubMed PMID: 30424892.</w:t>
      </w:r>
    </w:p>
  </w:endnote>
  <w:endnote w:id="102">
    <w:p w14:paraId="23E9CE4D" w14:textId="77777777" w:rsidR="00693F1D" w:rsidRPr="003427A6" w:rsidRDefault="00693F1D" w:rsidP="00693F1D">
      <w:pPr>
        <w:pStyle w:val="af6"/>
      </w:pPr>
      <w:r w:rsidRPr="003427A6">
        <w:rPr>
          <w:rStyle w:val="af8"/>
        </w:rPr>
        <w:endnoteRef/>
      </w:r>
      <w:r w:rsidRPr="003427A6">
        <w:t xml:space="preserve"> Clegg LE, Heerspink HJL, Penland RC, Tang W, Boulton DW, Bachina S, Fox RD,</w:t>
      </w:r>
    </w:p>
    <w:p w14:paraId="5B9C274E" w14:textId="77777777" w:rsidR="00693F1D" w:rsidRPr="003427A6" w:rsidRDefault="00693F1D" w:rsidP="00693F1D">
      <w:pPr>
        <w:pStyle w:val="af6"/>
      </w:pPr>
      <w:r w:rsidRPr="003427A6">
        <w:t>Fenici P, Thuresson M, Mentz RJ, Hernandez AF, Holman RR. Reduction of</w:t>
      </w:r>
    </w:p>
    <w:p w14:paraId="109CB22E" w14:textId="77777777" w:rsidR="00693F1D" w:rsidRPr="003427A6" w:rsidRDefault="00693F1D" w:rsidP="00693F1D">
      <w:pPr>
        <w:pStyle w:val="af6"/>
      </w:pPr>
      <w:r w:rsidRPr="003427A6">
        <w:t>Cardiovascular Risk and Improved Estimated Glomerular Filtration Rate by SGLT2</w:t>
      </w:r>
    </w:p>
    <w:p w14:paraId="666C5631" w14:textId="77777777" w:rsidR="00693F1D" w:rsidRPr="003427A6" w:rsidRDefault="00693F1D" w:rsidP="00693F1D">
      <w:pPr>
        <w:pStyle w:val="af6"/>
      </w:pPr>
      <w:r w:rsidRPr="003427A6">
        <w:t xml:space="preserve">Inhibitors, Including Dapagliflozin, Is Consistent Across the Class: An Analysis </w:t>
      </w:r>
    </w:p>
    <w:p w14:paraId="65337A94" w14:textId="77777777" w:rsidR="00693F1D" w:rsidRPr="003427A6" w:rsidRDefault="00693F1D" w:rsidP="00693F1D">
      <w:pPr>
        <w:pStyle w:val="af6"/>
      </w:pPr>
      <w:r w:rsidRPr="003427A6">
        <w:t>of the Placebo Arm of EXSCEL. Diabetes Care. 2019 Feb;42(2):318-326. doi:</w:t>
      </w:r>
    </w:p>
    <w:p w14:paraId="466A2EF0" w14:textId="02F2655F" w:rsidR="00693F1D" w:rsidRPr="003427A6" w:rsidRDefault="00693F1D" w:rsidP="00693F1D">
      <w:pPr>
        <w:pStyle w:val="af6"/>
      </w:pPr>
      <w:r w:rsidRPr="003427A6">
        <w:t>10.2337/dc18-1871. Epub 2018 Dec 6. PubMed PMID: 30523029.</w:t>
      </w:r>
    </w:p>
  </w:endnote>
  <w:endnote w:id="103">
    <w:p w14:paraId="59DDD7C7" w14:textId="77777777" w:rsidR="00693F1D" w:rsidRPr="003427A6" w:rsidRDefault="00693F1D" w:rsidP="00693F1D">
      <w:pPr>
        <w:pStyle w:val="af6"/>
      </w:pPr>
      <w:r w:rsidRPr="003427A6">
        <w:rPr>
          <w:rStyle w:val="af8"/>
        </w:rPr>
        <w:endnoteRef/>
      </w:r>
      <w:r w:rsidRPr="003427A6">
        <w:t xml:space="preserve"> Uthman L, Baartscheer A, Schumacher CA, Fiolet JWT, Kuschma MC, Hollmann MW,</w:t>
      </w:r>
    </w:p>
    <w:p w14:paraId="2EABD4F0" w14:textId="77777777" w:rsidR="00693F1D" w:rsidRPr="003427A6" w:rsidRDefault="00693F1D" w:rsidP="00693F1D">
      <w:pPr>
        <w:pStyle w:val="af6"/>
      </w:pPr>
      <w:r w:rsidRPr="003427A6">
        <w:t>Coronel R, Weber NC, Zuurbier CJ. Direct Cardiac Actions of Sodium Glucose</w:t>
      </w:r>
    </w:p>
    <w:p w14:paraId="1114D52E" w14:textId="77777777" w:rsidR="00693F1D" w:rsidRPr="003427A6" w:rsidRDefault="00693F1D" w:rsidP="00693F1D">
      <w:pPr>
        <w:pStyle w:val="af6"/>
      </w:pPr>
      <w:r w:rsidRPr="003427A6">
        <w:t xml:space="preserve">Cotransporter 2 Inhibitors Target Pathogenic Mechanisms Underlying Heart Failure </w:t>
      </w:r>
    </w:p>
    <w:p w14:paraId="6742FEF4" w14:textId="77777777" w:rsidR="00693F1D" w:rsidRPr="003427A6" w:rsidRDefault="00693F1D" w:rsidP="00693F1D">
      <w:pPr>
        <w:pStyle w:val="af6"/>
      </w:pPr>
      <w:r w:rsidRPr="003427A6">
        <w:t>in Diabetic Patients. Front Physiol. 2018 Nov 21;9:1575. doi:</w:t>
      </w:r>
    </w:p>
    <w:p w14:paraId="103BCE28" w14:textId="77777777" w:rsidR="00693F1D" w:rsidRPr="003427A6" w:rsidRDefault="00693F1D" w:rsidP="00693F1D">
      <w:pPr>
        <w:pStyle w:val="af6"/>
      </w:pPr>
      <w:r w:rsidRPr="003427A6">
        <w:t>10.3389/fphys.2018.01575. eCollection 2018. Review. PubMed PMID: 30519189; PubMed</w:t>
      </w:r>
    </w:p>
    <w:p w14:paraId="00A5920C" w14:textId="61607D24" w:rsidR="00693F1D" w:rsidRPr="003427A6" w:rsidRDefault="00693F1D" w:rsidP="00693F1D">
      <w:pPr>
        <w:pStyle w:val="af6"/>
      </w:pPr>
      <w:r w:rsidRPr="003427A6">
        <w:t>Central PMCID: PMC6259641.</w:t>
      </w:r>
    </w:p>
  </w:endnote>
  <w:endnote w:id="104">
    <w:p w14:paraId="386E6F19" w14:textId="77777777" w:rsidR="00623475" w:rsidRPr="003427A6" w:rsidRDefault="00623475" w:rsidP="00445522">
      <w:pPr>
        <w:pStyle w:val="af6"/>
      </w:pPr>
      <w:r w:rsidRPr="003427A6">
        <w:rPr>
          <w:rStyle w:val="af8"/>
        </w:rPr>
        <w:endnoteRef/>
      </w:r>
      <w:r w:rsidRPr="003427A6">
        <w:t xml:space="preserve"> Packer M. Activation and Inhibition of Sodium-Hydrogen Exchanger Is a</w:t>
      </w:r>
    </w:p>
    <w:p w14:paraId="7FA8E94C" w14:textId="77777777" w:rsidR="00623475" w:rsidRPr="003427A6" w:rsidRDefault="00623475" w:rsidP="00445522">
      <w:pPr>
        <w:pStyle w:val="af6"/>
      </w:pPr>
      <w:r w:rsidRPr="003427A6">
        <w:t xml:space="preserve">Mechanism That Links the Pathophysiology and Treatment of Diabetes Mellitus With </w:t>
      </w:r>
    </w:p>
    <w:p w14:paraId="0E0AF2F0" w14:textId="77777777" w:rsidR="00623475" w:rsidRPr="003427A6" w:rsidRDefault="00623475" w:rsidP="00445522">
      <w:pPr>
        <w:pStyle w:val="af6"/>
      </w:pPr>
      <w:r w:rsidRPr="003427A6">
        <w:t>That of Heart Failure. Circulation. 2017 Oct 17;136(16):1548-1559. doi:</w:t>
      </w:r>
    </w:p>
    <w:p w14:paraId="2D39CF19" w14:textId="55168B12" w:rsidR="00623475" w:rsidRPr="003427A6" w:rsidRDefault="00623475" w:rsidP="00445522">
      <w:pPr>
        <w:pStyle w:val="af6"/>
      </w:pPr>
      <w:r w:rsidRPr="003427A6">
        <w:t>10.1161/CIRCULATIONAHA.117.030418. Review. PubMed PMID: 29038209.</w:t>
      </w:r>
    </w:p>
  </w:endnote>
  <w:endnote w:id="105">
    <w:p w14:paraId="6B0BF76C" w14:textId="77777777" w:rsidR="00623475" w:rsidRPr="003427A6" w:rsidRDefault="00623475" w:rsidP="00B106AB">
      <w:pPr>
        <w:pStyle w:val="af6"/>
      </w:pPr>
      <w:r w:rsidRPr="003427A6">
        <w:rPr>
          <w:rStyle w:val="af8"/>
        </w:rPr>
        <w:endnoteRef/>
      </w:r>
      <w:r w:rsidRPr="003427A6">
        <w:t xml:space="preserve"> Packer M, Anker SD, Butler J, Filippatos G, Zannad F. Effects of</w:t>
      </w:r>
    </w:p>
    <w:p w14:paraId="451FE3B1" w14:textId="77777777" w:rsidR="00623475" w:rsidRPr="003427A6" w:rsidRDefault="00623475" w:rsidP="00B106AB">
      <w:pPr>
        <w:pStyle w:val="af6"/>
      </w:pPr>
      <w:r w:rsidRPr="003427A6">
        <w:t>Sodium-Glucose Cotransporter 2 Inhibitors for the Treatment of Patients With</w:t>
      </w:r>
    </w:p>
    <w:p w14:paraId="736EE812" w14:textId="77777777" w:rsidR="00623475" w:rsidRPr="003427A6" w:rsidRDefault="00623475" w:rsidP="00B106AB">
      <w:pPr>
        <w:pStyle w:val="af6"/>
      </w:pPr>
      <w:r w:rsidRPr="003427A6">
        <w:t>Heart Failure: Proposal of a Novel Mechanism of Action. JAMA Cardiol. 2017 Sep</w:t>
      </w:r>
    </w:p>
    <w:p w14:paraId="00C9F487" w14:textId="77777777" w:rsidR="00623475" w:rsidRPr="003427A6" w:rsidRDefault="00623475" w:rsidP="00B106AB">
      <w:pPr>
        <w:pStyle w:val="af6"/>
      </w:pPr>
      <w:r w:rsidRPr="003427A6">
        <w:t>1;2(9):1025-1029. doi: 10.1001/jamacardio.2017.2275. PubMed PMID: 28768320.</w:t>
      </w:r>
    </w:p>
  </w:endnote>
  <w:endnote w:id="106">
    <w:p w14:paraId="475C8E99" w14:textId="77777777" w:rsidR="00623475" w:rsidRPr="003427A6" w:rsidRDefault="00623475" w:rsidP="00577C70">
      <w:pPr>
        <w:pStyle w:val="af6"/>
      </w:pPr>
      <w:r w:rsidRPr="003427A6">
        <w:rPr>
          <w:rStyle w:val="af8"/>
        </w:rPr>
        <w:endnoteRef/>
      </w:r>
      <w:r w:rsidRPr="003427A6">
        <w:t xml:space="preserve"> Verma S, Rawat S, Ho KL, Wagg CS, Zhang L, Teoh H, Dyck JE, Uddin GM, Oudit</w:t>
      </w:r>
    </w:p>
    <w:p w14:paraId="44D76267" w14:textId="77777777" w:rsidR="00623475" w:rsidRPr="003427A6" w:rsidRDefault="00623475" w:rsidP="00577C70">
      <w:pPr>
        <w:pStyle w:val="af6"/>
      </w:pPr>
      <w:r w:rsidRPr="003427A6">
        <w:t>GY, Mayoux E, Lehrke M, Marx N, Lopaschuk GD. Empagliflozin Increases Cardiac</w:t>
      </w:r>
    </w:p>
    <w:p w14:paraId="15E6DA58" w14:textId="77777777" w:rsidR="00623475" w:rsidRPr="003427A6" w:rsidRDefault="00623475" w:rsidP="00577C70">
      <w:pPr>
        <w:pStyle w:val="af6"/>
      </w:pPr>
      <w:r w:rsidRPr="003427A6">
        <w:t>Energy Production in Diabetes: Novel Translational Insights Into the Heart</w:t>
      </w:r>
    </w:p>
    <w:p w14:paraId="54531C0A" w14:textId="77777777" w:rsidR="00623475" w:rsidRPr="003427A6" w:rsidRDefault="00623475" w:rsidP="00577C70">
      <w:pPr>
        <w:pStyle w:val="af6"/>
      </w:pPr>
      <w:r w:rsidRPr="003427A6">
        <w:t>Failure Benefits of SGLT2 Inhibitors. JACC Basic Transl Sci. 2018 Aug</w:t>
      </w:r>
    </w:p>
    <w:p w14:paraId="13677CB5" w14:textId="77777777" w:rsidR="00623475" w:rsidRPr="003427A6" w:rsidRDefault="00623475" w:rsidP="00577C70">
      <w:pPr>
        <w:pStyle w:val="af6"/>
      </w:pPr>
      <w:r w:rsidRPr="003427A6">
        <w:t xml:space="preserve">26;3(5):575-587. doi: 10.1016/j.jacbts.2018.07.006. eCollection 2018 Oct. PubMed </w:t>
      </w:r>
    </w:p>
    <w:p w14:paraId="1C871494" w14:textId="0427F3C4" w:rsidR="00623475" w:rsidRPr="003427A6" w:rsidRDefault="00623475" w:rsidP="00577C70">
      <w:pPr>
        <w:pStyle w:val="af6"/>
      </w:pPr>
      <w:r w:rsidRPr="003427A6">
        <w:t>PMID: 30456329; PubMed Central PMCID: PMC6234616.</w:t>
      </w:r>
    </w:p>
  </w:endnote>
  <w:endnote w:id="107">
    <w:p w14:paraId="45E6E13C" w14:textId="77777777" w:rsidR="00623475" w:rsidRPr="003427A6" w:rsidRDefault="00623475" w:rsidP="00834812">
      <w:pPr>
        <w:pStyle w:val="af6"/>
      </w:pPr>
      <w:r w:rsidRPr="003427A6">
        <w:rPr>
          <w:rStyle w:val="af8"/>
        </w:rPr>
        <w:endnoteRef/>
      </w:r>
      <w:r w:rsidRPr="003427A6">
        <w:t xml:space="preserve"> Chin KL, Ofori-Asenso R, Hopper I, von Lueder TG, Reid CM, Zoungas S, Wang BH,</w:t>
      </w:r>
    </w:p>
    <w:p w14:paraId="455BA27F" w14:textId="77777777" w:rsidR="00623475" w:rsidRPr="003427A6" w:rsidRDefault="00623475" w:rsidP="00834812">
      <w:pPr>
        <w:pStyle w:val="af6"/>
      </w:pPr>
      <w:r w:rsidRPr="003427A6">
        <w:t>Liew D. Potential mechanisms underlying the cardiovascular benefits of sodium</w:t>
      </w:r>
    </w:p>
    <w:p w14:paraId="6775CAF6" w14:textId="77777777" w:rsidR="00623475" w:rsidRPr="003427A6" w:rsidRDefault="00623475" w:rsidP="00834812">
      <w:pPr>
        <w:pStyle w:val="af6"/>
      </w:pPr>
      <w:r w:rsidRPr="003427A6">
        <w:t xml:space="preserve">glucose cotransporter 2 inhibitors: a systematic review of data from preclinical </w:t>
      </w:r>
    </w:p>
    <w:p w14:paraId="2CF81DA1" w14:textId="77777777" w:rsidR="00623475" w:rsidRPr="003427A6" w:rsidRDefault="00623475" w:rsidP="00834812">
      <w:pPr>
        <w:pStyle w:val="af6"/>
      </w:pPr>
      <w:r w:rsidRPr="003427A6">
        <w:t>studies. Cardiovasc Res. 2018 Nov 26. doi: 10.1093/cvr/cvy295. [Epub ahead of</w:t>
      </w:r>
    </w:p>
    <w:p w14:paraId="181CC401" w14:textId="4595704C" w:rsidR="00623475" w:rsidRPr="003427A6" w:rsidRDefault="00623475" w:rsidP="00834812">
      <w:pPr>
        <w:pStyle w:val="af6"/>
      </w:pPr>
      <w:r w:rsidRPr="003427A6">
        <w:t>print] PubMed PMID: 30475996.</w:t>
      </w:r>
    </w:p>
  </w:endnote>
  <w:endnote w:id="108">
    <w:p w14:paraId="2DA2BD0B" w14:textId="77777777" w:rsidR="00623475" w:rsidRPr="003427A6" w:rsidRDefault="00623475" w:rsidP="002A66D5">
      <w:pPr>
        <w:pStyle w:val="af6"/>
      </w:pPr>
      <w:r w:rsidRPr="003427A6">
        <w:rPr>
          <w:rStyle w:val="af8"/>
        </w:rPr>
        <w:endnoteRef/>
      </w:r>
      <w:r w:rsidRPr="003427A6">
        <w:t xml:space="preserve"> McCullough PA, Barnard D, Clare R, Ellis SJ, Fleg JL, Fonarow GC, Franklin BA,</w:t>
      </w:r>
    </w:p>
    <w:p w14:paraId="573B19D9" w14:textId="77777777" w:rsidR="00623475" w:rsidRPr="003427A6" w:rsidRDefault="00623475" w:rsidP="002A66D5">
      <w:pPr>
        <w:pStyle w:val="af6"/>
      </w:pPr>
      <w:r w:rsidRPr="003427A6">
        <w:t>Kilpatrick RD, Kitzman DW, O'Connor CM, Piña IL, Thadani U, Thohan V, Whellan DJ;</w:t>
      </w:r>
    </w:p>
    <w:p w14:paraId="115B8548" w14:textId="77777777" w:rsidR="00623475" w:rsidRPr="003427A6" w:rsidRDefault="00623475" w:rsidP="002A66D5">
      <w:pPr>
        <w:pStyle w:val="af6"/>
      </w:pPr>
      <w:r w:rsidRPr="003427A6">
        <w:t>HF-ACTION Investigators. Anemia and associated clinical outcomes in patients with</w:t>
      </w:r>
    </w:p>
    <w:p w14:paraId="7F14E0C3" w14:textId="77777777" w:rsidR="00623475" w:rsidRPr="003427A6" w:rsidRDefault="00623475" w:rsidP="002A66D5">
      <w:pPr>
        <w:pStyle w:val="af6"/>
      </w:pPr>
      <w:r w:rsidRPr="003427A6">
        <w:t>heart failure due to reduced left ventricular systolic function. Clin Cardiol.</w:t>
      </w:r>
    </w:p>
    <w:p w14:paraId="5EFF8F3A" w14:textId="77777777" w:rsidR="00623475" w:rsidRPr="003427A6" w:rsidRDefault="00623475" w:rsidP="002A66D5">
      <w:pPr>
        <w:pStyle w:val="af6"/>
      </w:pPr>
      <w:r w:rsidRPr="003427A6">
        <w:t>2013 Oct;36(10):611-20. doi: 10.1002/clc.22181. Epub 2013 Aug 8. PubMed PMID:</w:t>
      </w:r>
    </w:p>
    <w:p w14:paraId="4FA1989A" w14:textId="0D267D9D" w:rsidR="00623475" w:rsidRPr="003427A6" w:rsidRDefault="00623475" w:rsidP="002A66D5">
      <w:pPr>
        <w:pStyle w:val="af6"/>
      </w:pPr>
      <w:r w:rsidRPr="003427A6">
        <w:t>23929781; PubMed Central PMCID: PMC4008125.</w:t>
      </w:r>
    </w:p>
  </w:endnote>
  <w:endnote w:id="109">
    <w:p w14:paraId="1F776509" w14:textId="7C3BB670" w:rsidR="00623475" w:rsidRPr="003427A6" w:rsidRDefault="00623475">
      <w:pPr>
        <w:pStyle w:val="af6"/>
      </w:pPr>
      <w:r w:rsidRPr="003427A6">
        <w:rPr>
          <w:rStyle w:val="af8"/>
        </w:rPr>
        <w:endnoteRef/>
      </w:r>
      <w:r w:rsidRPr="003427A6">
        <w:t xml:space="preserve"> Chang YK, Choi H, Jeong JY, Na KR, Lee KW, Lim BJ and Choi DE. Dapagliflozin, SGLT2 Inhibitor, Attenuates Renal Ischemia-Reperfusion Injury. PloS one. 2016;11:e0158810.</w:t>
      </w:r>
    </w:p>
  </w:endnote>
  <w:endnote w:id="110">
    <w:p w14:paraId="519E5986" w14:textId="77777777" w:rsidR="00623475" w:rsidRPr="003427A6" w:rsidRDefault="00623475" w:rsidP="006666FC">
      <w:pPr>
        <w:pStyle w:val="af6"/>
      </w:pPr>
      <w:r w:rsidRPr="003427A6">
        <w:rPr>
          <w:rStyle w:val="af8"/>
        </w:rPr>
        <w:endnoteRef/>
      </w:r>
      <w:r w:rsidRPr="003427A6">
        <w:t xml:space="preserve"> Inzucchi SE, Iliev H, Pfarr E, Zinman B. Empagliflozin and Assessment of</w:t>
      </w:r>
    </w:p>
    <w:p w14:paraId="42DD37AE" w14:textId="77777777" w:rsidR="00623475" w:rsidRPr="003427A6" w:rsidRDefault="00623475" w:rsidP="006666FC">
      <w:pPr>
        <w:pStyle w:val="af6"/>
      </w:pPr>
      <w:r w:rsidRPr="003427A6">
        <w:t>Lower-Limb Amputations in the EMPA-REG OUTCOME Trial. Diabetes Care. 2018</w:t>
      </w:r>
    </w:p>
    <w:p w14:paraId="7C77F2B1" w14:textId="3BADEB6C" w:rsidR="00623475" w:rsidRPr="003427A6" w:rsidRDefault="00623475" w:rsidP="006666FC">
      <w:pPr>
        <w:pStyle w:val="af6"/>
      </w:pPr>
      <w:r w:rsidRPr="003427A6">
        <w:t>Jan;41(1):e4-e5. doi: 10.2337/dc17-1551. Epub 2017 Nov 13. PubMed PMID: 29133344.</w:t>
      </w:r>
    </w:p>
  </w:endnote>
  <w:endnote w:id="111">
    <w:p w14:paraId="280B0DFA" w14:textId="77777777" w:rsidR="00623475" w:rsidRPr="003427A6" w:rsidRDefault="00623475" w:rsidP="00577C70">
      <w:pPr>
        <w:pStyle w:val="af6"/>
      </w:pPr>
      <w:r w:rsidRPr="003427A6">
        <w:rPr>
          <w:rStyle w:val="af8"/>
        </w:rPr>
        <w:endnoteRef/>
      </w:r>
      <w:r w:rsidRPr="003427A6">
        <w:t xml:space="preserve"> Verma S, McMurray JJV. SGLT2 inhibitors and mechanisms of cardiovascular</w:t>
      </w:r>
    </w:p>
    <w:p w14:paraId="4B240922" w14:textId="77777777" w:rsidR="00623475" w:rsidRPr="003427A6" w:rsidRDefault="00623475" w:rsidP="00577C70">
      <w:pPr>
        <w:pStyle w:val="af6"/>
      </w:pPr>
      <w:r w:rsidRPr="003427A6">
        <w:t>benefit: a state-of-the-art review. Diabetologia. 2018 Oct;61(10):2108-2117. doi:</w:t>
      </w:r>
    </w:p>
    <w:p w14:paraId="68B8C83E" w14:textId="407F4AF9" w:rsidR="00623475" w:rsidRPr="003427A6" w:rsidRDefault="00623475" w:rsidP="00577C70">
      <w:pPr>
        <w:pStyle w:val="af6"/>
      </w:pPr>
      <w:r w:rsidRPr="003427A6">
        <w:t>10.1007/s00125-018-4670-7. Epub 2018 Aug 22. Review. PubMed PMID: 30132036.</w:t>
      </w:r>
    </w:p>
  </w:endnote>
  <w:endnote w:id="112">
    <w:p w14:paraId="012D6A74" w14:textId="77777777" w:rsidR="00623475" w:rsidRPr="003427A6" w:rsidRDefault="00623475" w:rsidP="004F5DAA">
      <w:pPr>
        <w:pStyle w:val="af6"/>
      </w:pPr>
      <w:r w:rsidRPr="003427A6">
        <w:rPr>
          <w:rStyle w:val="af8"/>
        </w:rPr>
        <w:endnoteRef/>
      </w:r>
      <w:r w:rsidRPr="003427A6">
        <w:t xml:space="preserve"> Wakabayashi S, Hisamitsu T, Nakamura TY. Regulation of the cardiac Na⁺/H⁺</w:t>
      </w:r>
    </w:p>
    <w:p w14:paraId="4659A780" w14:textId="77777777" w:rsidR="00623475" w:rsidRPr="003427A6" w:rsidRDefault="00623475" w:rsidP="004F5DAA">
      <w:pPr>
        <w:pStyle w:val="af6"/>
      </w:pPr>
      <w:r w:rsidRPr="003427A6">
        <w:t>exchanger in health and disease. J Mol Cell Cardiol. 2013 Aug;61:68-76. doi:</w:t>
      </w:r>
    </w:p>
    <w:p w14:paraId="0FDF2DBE" w14:textId="787BBEA7" w:rsidR="00623475" w:rsidRPr="003427A6" w:rsidRDefault="00623475" w:rsidP="004F5DAA">
      <w:pPr>
        <w:pStyle w:val="af6"/>
      </w:pPr>
      <w:r w:rsidRPr="003427A6">
        <w:t>10.1016/j.yjmcc.2013.02.007. Epub 2013 Feb 18. Review. PubMed PMID: 23429007.</w:t>
      </w:r>
    </w:p>
  </w:endnote>
  <w:endnote w:id="113">
    <w:p w14:paraId="68E6585D" w14:textId="77777777" w:rsidR="00623475" w:rsidRPr="003427A6" w:rsidRDefault="00623475" w:rsidP="00954575">
      <w:pPr>
        <w:pStyle w:val="af6"/>
      </w:pPr>
      <w:r w:rsidRPr="003427A6">
        <w:rPr>
          <w:rStyle w:val="af8"/>
        </w:rPr>
        <w:endnoteRef/>
      </w:r>
      <w:r w:rsidRPr="003427A6">
        <w:t xml:space="preserve"> Rivarola V, Di Giusto G, Christensen MJ, Ford P, Capurro C. AQP2-Induced</w:t>
      </w:r>
    </w:p>
    <w:p w14:paraId="67D8CD89" w14:textId="77777777" w:rsidR="00623475" w:rsidRPr="003427A6" w:rsidRDefault="00623475" w:rsidP="00954575">
      <w:pPr>
        <w:pStyle w:val="af6"/>
      </w:pPr>
      <w:r w:rsidRPr="003427A6">
        <w:t xml:space="preserve">Acceleration of Renal Cell Proliferation Involves the Activation of a Regulatory </w:t>
      </w:r>
    </w:p>
    <w:p w14:paraId="0351F43D" w14:textId="77777777" w:rsidR="00623475" w:rsidRPr="003427A6" w:rsidRDefault="00623475" w:rsidP="00954575">
      <w:pPr>
        <w:pStyle w:val="af6"/>
      </w:pPr>
      <w:r w:rsidRPr="003427A6">
        <w:t>Volume Increase Mechanism Dependent on NHE2. J Cell Biochem. 2017</w:t>
      </w:r>
    </w:p>
    <w:p w14:paraId="7A13781C" w14:textId="77777777" w:rsidR="00623475" w:rsidRPr="003427A6" w:rsidRDefault="00623475" w:rsidP="00954575">
      <w:pPr>
        <w:pStyle w:val="af6"/>
      </w:pPr>
      <w:r w:rsidRPr="003427A6">
        <w:t>May;118(5):967-978. doi: 10.1002/jcb.25602. Epub 2017 Jan 5. PubMed PMID:</w:t>
      </w:r>
    </w:p>
    <w:p w14:paraId="487B3896" w14:textId="57F3D3F7" w:rsidR="00623475" w:rsidRPr="003427A6" w:rsidRDefault="00623475" w:rsidP="00954575">
      <w:pPr>
        <w:pStyle w:val="af6"/>
      </w:pPr>
      <w:r w:rsidRPr="003427A6">
        <w:t>27191152.</w:t>
      </w:r>
    </w:p>
  </w:endnote>
  <w:endnote w:id="114">
    <w:p w14:paraId="71EDAE27" w14:textId="77777777" w:rsidR="00623475" w:rsidRPr="003427A6" w:rsidRDefault="00623475" w:rsidP="00954575">
      <w:pPr>
        <w:pStyle w:val="af6"/>
      </w:pPr>
      <w:r w:rsidRPr="003427A6">
        <w:rPr>
          <w:rStyle w:val="af8"/>
        </w:rPr>
        <w:endnoteRef/>
      </w:r>
      <w:r w:rsidRPr="003427A6">
        <w:t xml:space="preserve"> Bourgeois S, Meer LV, Wootla B, Bloch-Faure M, Chambrey R, Shull GE, Gawenis</w:t>
      </w:r>
    </w:p>
    <w:p w14:paraId="463F13FD" w14:textId="77777777" w:rsidR="00623475" w:rsidRPr="003427A6" w:rsidRDefault="00623475" w:rsidP="00954575">
      <w:pPr>
        <w:pStyle w:val="af6"/>
      </w:pPr>
      <w:r w:rsidRPr="003427A6">
        <w:t>LR, Houillier P. NHE4 is critical for the renal handling of ammonia in rodents. J</w:t>
      </w:r>
    </w:p>
    <w:p w14:paraId="7CEEBAA1" w14:textId="77777777" w:rsidR="00623475" w:rsidRPr="003427A6" w:rsidRDefault="00623475" w:rsidP="00954575">
      <w:pPr>
        <w:pStyle w:val="af6"/>
      </w:pPr>
      <w:r w:rsidRPr="003427A6">
        <w:t>Clin Invest. 2010 Jun;120(6):1895-904. doi: 10.1172/JCI36581. Epub 2010 May 17.</w:t>
      </w:r>
    </w:p>
    <w:p w14:paraId="33379999" w14:textId="6D7ABE01" w:rsidR="00623475" w:rsidRPr="003427A6" w:rsidRDefault="00623475" w:rsidP="00954575">
      <w:pPr>
        <w:pStyle w:val="af6"/>
      </w:pPr>
      <w:r w:rsidRPr="003427A6">
        <w:t>PubMed PMID: 20484819; PubMed Central PMCID: PMC2877923.</w:t>
      </w:r>
    </w:p>
  </w:endnote>
  <w:endnote w:id="115">
    <w:p w14:paraId="5E031665" w14:textId="77777777" w:rsidR="00623475" w:rsidRPr="003427A6" w:rsidRDefault="00623475" w:rsidP="00954575">
      <w:pPr>
        <w:pStyle w:val="af6"/>
      </w:pPr>
      <w:r w:rsidRPr="003427A6">
        <w:rPr>
          <w:rStyle w:val="af8"/>
        </w:rPr>
        <w:endnoteRef/>
      </w:r>
      <w:r w:rsidRPr="003427A6">
        <w:t xml:space="preserve"> Diering GH, Numata M. Endosomal pH in neuronal signaling and synaptic</w:t>
      </w:r>
    </w:p>
    <w:p w14:paraId="377F07B8" w14:textId="77777777" w:rsidR="00623475" w:rsidRPr="003427A6" w:rsidRDefault="00623475" w:rsidP="00954575">
      <w:pPr>
        <w:pStyle w:val="af6"/>
      </w:pPr>
      <w:r w:rsidRPr="003427A6">
        <w:t>transmission: role of Na(+)/H(+) exchanger NHE5. Front Physiol. 2014 Jan</w:t>
      </w:r>
    </w:p>
    <w:p w14:paraId="1F57EE52" w14:textId="77777777" w:rsidR="00623475" w:rsidRPr="003427A6" w:rsidRDefault="00623475" w:rsidP="00954575">
      <w:pPr>
        <w:pStyle w:val="af6"/>
      </w:pPr>
      <w:r w:rsidRPr="003427A6">
        <w:t xml:space="preserve">13;4:412. doi: 10.3389/fphys.2013.00412. eCollection 2014 Jan 13. Review. PubMed </w:t>
      </w:r>
    </w:p>
    <w:p w14:paraId="1A434634" w14:textId="0B5E766A" w:rsidR="00623475" w:rsidRPr="003427A6" w:rsidRDefault="00623475" w:rsidP="00954575">
      <w:pPr>
        <w:pStyle w:val="af6"/>
      </w:pPr>
      <w:r w:rsidRPr="003427A6">
        <w:t>PMID: 24454292; PubMed Central PMCID: PMC3888932.</w:t>
      </w:r>
    </w:p>
  </w:endnote>
  <w:endnote w:id="116">
    <w:p w14:paraId="13683025" w14:textId="77777777" w:rsidR="00623475" w:rsidRPr="003427A6" w:rsidRDefault="00623475" w:rsidP="004F5DAA">
      <w:pPr>
        <w:pStyle w:val="af6"/>
      </w:pPr>
      <w:r w:rsidRPr="003427A6">
        <w:rPr>
          <w:rStyle w:val="af8"/>
        </w:rPr>
        <w:endnoteRef/>
      </w:r>
      <w:r w:rsidRPr="003427A6">
        <w:t xml:space="preserve"> Xu M, Ouyang Q, Gong J, Pescosolido MF, Pruett BS, Mishra S, Schmidt M, Jones </w:t>
      </w:r>
    </w:p>
    <w:p w14:paraId="1F0BBB5C" w14:textId="77777777" w:rsidR="00623475" w:rsidRPr="003427A6" w:rsidRDefault="00623475" w:rsidP="004F5DAA">
      <w:pPr>
        <w:pStyle w:val="af6"/>
      </w:pPr>
      <w:r w:rsidRPr="003427A6">
        <w:t>RN, Gamsiz Uzun ED, Lizarraga SB, Morrow EM. Mixed Neurodevelopmental and</w:t>
      </w:r>
    </w:p>
    <w:p w14:paraId="201F6994" w14:textId="77777777" w:rsidR="00623475" w:rsidRPr="003427A6" w:rsidRDefault="00623475" w:rsidP="004F5DAA">
      <w:pPr>
        <w:pStyle w:val="af6"/>
      </w:pPr>
      <w:r w:rsidRPr="003427A6">
        <w:t>Neurodegenerative Pathology in Nhe6-Null Mouse Model of Christianson Syndrome.</w:t>
      </w:r>
    </w:p>
    <w:p w14:paraId="70220C3C" w14:textId="77777777" w:rsidR="00623475" w:rsidRPr="003427A6" w:rsidRDefault="00623475" w:rsidP="004F5DAA">
      <w:pPr>
        <w:pStyle w:val="af6"/>
      </w:pPr>
      <w:r w:rsidRPr="003427A6">
        <w:t>eNeuro. 2018 Jan 17;4(6). pii: ENEURO.0388-17.2017. doi:</w:t>
      </w:r>
    </w:p>
    <w:p w14:paraId="653C3FD9" w14:textId="77777777" w:rsidR="00623475" w:rsidRPr="003427A6" w:rsidRDefault="00623475" w:rsidP="004F5DAA">
      <w:pPr>
        <w:pStyle w:val="af6"/>
      </w:pPr>
      <w:r w:rsidRPr="003427A6">
        <w:t>10.1523/ENEURO.0388-17.2017. eCollection 2017 Nov-Dec. PubMed PMID: 29349289;</w:t>
      </w:r>
    </w:p>
    <w:p w14:paraId="5084D909" w14:textId="536A50F5" w:rsidR="00623475" w:rsidRPr="003427A6" w:rsidRDefault="00623475" w:rsidP="004F5DAA">
      <w:pPr>
        <w:pStyle w:val="af6"/>
      </w:pPr>
      <w:r w:rsidRPr="003427A6">
        <w:t>PubMed Central PMCID: PMC5771691.</w:t>
      </w:r>
    </w:p>
  </w:endnote>
  <w:endnote w:id="117">
    <w:p w14:paraId="6577E829" w14:textId="77777777" w:rsidR="00623475" w:rsidRPr="003427A6" w:rsidRDefault="00623475" w:rsidP="00CF6447">
      <w:pPr>
        <w:pStyle w:val="af6"/>
      </w:pPr>
      <w:r w:rsidRPr="003427A6">
        <w:rPr>
          <w:rStyle w:val="af8"/>
        </w:rPr>
        <w:endnoteRef/>
      </w:r>
      <w:r w:rsidRPr="003427A6">
        <w:t xml:space="preserve"> Lin PJ, Williams WP, Luu Y, Molday RS, Orlowski J, Numata M. Secretory carrier</w:t>
      </w:r>
    </w:p>
    <w:p w14:paraId="44124FBA" w14:textId="77777777" w:rsidR="00623475" w:rsidRPr="003427A6" w:rsidRDefault="00623475" w:rsidP="00CF6447">
      <w:pPr>
        <w:pStyle w:val="af6"/>
      </w:pPr>
      <w:r w:rsidRPr="003427A6">
        <w:t>membrane proteins interact and regulate trafficking of the organellar (Na+,K+)/H+</w:t>
      </w:r>
    </w:p>
    <w:p w14:paraId="0D895C74" w14:textId="77777777" w:rsidR="00623475" w:rsidRPr="003427A6" w:rsidRDefault="00623475" w:rsidP="00CF6447">
      <w:pPr>
        <w:pStyle w:val="af6"/>
      </w:pPr>
      <w:r w:rsidRPr="003427A6">
        <w:t>exchanger NHE7. J Cell Sci. 2005 May 1;118(Pt 9):1885-97. Epub 2005 Apr 19.</w:t>
      </w:r>
    </w:p>
    <w:p w14:paraId="440F1D77" w14:textId="69AC855C" w:rsidR="00623475" w:rsidRPr="003427A6" w:rsidRDefault="00623475" w:rsidP="00CF6447">
      <w:pPr>
        <w:pStyle w:val="af6"/>
      </w:pPr>
      <w:r w:rsidRPr="003427A6">
        <w:t>PubMed PMID: 15840657</w:t>
      </w:r>
    </w:p>
  </w:endnote>
  <w:endnote w:id="118">
    <w:p w14:paraId="6A00245F" w14:textId="77777777" w:rsidR="00623475" w:rsidRPr="003427A6" w:rsidRDefault="00623475" w:rsidP="00CF6447">
      <w:pPr>
        <w:pStyle w:val="af6"/>
      </w:pPr>
      <w:r w:rsidRPr="003427A6">
        <w:rPr>
          <w:rStyle w:val="af8"/>
        </w:rPr>
        <w:endnoteRef/>
      </w:r>
      <w:r w:rsidRPr="003427A6">
        <w:t xml:space="preserve"> Wang A, Li J, Zhao Y, Johansson ME, Xu H, Ghishan FK. Loss of NHE8 expression </w:t>
      </w:r>
    </w:p>
    <w:p w14:paraId="22804A6C" w14:textId="77777777" w:rsidR="00623475" w:rsidRPr="003427A6" w:rsidRDefault="00623475" w:rsidP="00CF6447">
      <w:pPr>
        <w:pStyle w:val="af6"/>
      </w:pPr>
      <w:r w:rsidRPr="003427A6">
        <w:t>impairs intestinal mucosal integrity. Am J Physiol Gastrointest Liver Physiol.</w:t>
      </w:r>
    </w:p>
    <w:p w14:paraId="2EB3D904" w14:textId="77777777" w:rsidR="00623475" w:rsidRPr="003427A6" w:rsidRDefault="00623475" w:rsidP="00CF6447">
      <w:pPr>
        <w:pStyle w:val="af6"/>
      </w:pPr>
      <w:r w:rsidRPr="003427A6">
        <w:t>2015 Dec 1;309(11):G855-64. doi: 10.1152/ajpgi.00278.2015. Epub 2015 Oct 1.</w:t>
      </w:r>
    </w:p>
    <w:p w14:paraId="5FFE0904" w14:textId="449948BE" w:rsidR="00623475" w:rsidRPr="003427A6" w:rsidRDefault="00623475" w:rsidP="00CF6447">
      <w:pPr>
        <w:pStyle w:val="af6"/>
      </w:pPr>
      <w:r w:rsidRPr="003427A6">
        <w:t>PubMed PMID: 26505975; PubMed Central PMCID: PMC4669351.</w:t>
      </w:r>
    </w:p>
  </w:endnote>
  <w:endnote w:id="119">
    <w:p w14:paraId="79F9E1B7" w14:textId="77777777" w:rsidR="00623475" w:rsidRPr="003427A6" w:rsidRDefault="00623475" w:rsidP="00CF6447">
      <w:pPr>
        <w:pStyle w:val="af6"/>
      </w:pPr>
      <w:r w:rsidRPr="003427A6">
        <w:rPr>
          <w:rStyle w:val="af8"/>
        </w:rPr>
        <w:endnoteRef/>
      </w:r>
      <w:r w:rsidRPr="003427A6">
        <w:t xml:space="preserve"> Beydoun R, Hamood MA, Gomez Zubieta DM, Kondapalli KC. Na(+)/H(+) Exchanger 9 </w:t>
      </w:r>
    </w:p>
    <w:p w14:paraId="02553454" w14:textId="77777777" w:rsidR="00623475" w:rsidRPr="003427A6" w:rsidRDefault="00623475" w:rsidP="00CF6447">
      <w:pPr>
        <w:pStyle w:val="af6"/>
      </w:pPr>
      <w:r w:rsidRPr="003427A6">
        <w:t>Regulates Iron Mobilization at the Blood-Brain Barrier in Response to Iron</w:t>
      </w:r>
    </w:p>
    <w:p w14:paraId="19C51DF6" w14:textId="77777777" w:rsidR="00623475" w:rsidRPr="003427A6" w:rsidRDefault="00623475" w:rsidP="00CF6447">
      <w:pPr>
        <w:pStyle w:val="af6"/>
      </w:pPr>
      <w:r w:rsidRPr="003427A6">
        <w:t>Starvation. J Biol Chem. 2017 Mar 10;292(10):4293-4301. doi:</w:t>
      </w:r>
    </w:p>
    <w:p w14:paraId="3A1B16A0" w14:textId="77777777" w:rsidR="00623475" w:rsidRPr="003427A6" w:rsidRDefault="00623475" w:rsidP="00CF6447">
      <w:pPr>
        <w:pStyle w:val="af6"/>
      </w:pPr>
      <w:r w:rsidRPr="003427A6">
        <w:t xml:space="preserve">10.1074/jbc.M116.769240. Epub 2017 Jan 27. PubMed PMID: 28130443; PubMed Central </w:t>
      </w:r>
    </w:p>
    <w:p w14:paraId="33C135F1" w14:textId="3C3FC1B5" w:rsidR="00623475" w:rsidRPr="003427A6" w:rsidRDefault="00623475" w:rsidP="00CF6447">
      <w:pPr>
        <w:pStyle w:val="af6"/>
      </w:pPr>
      <w:r w:rsidRPr="003427A6">
        <w:t>PMCID: PMC5354498.</w:t>
      </w:r>
    </w:p>
  </w:endnote>
  <w:endnote w:id="120">
    <w:p w14:paraId="11DA0888" w14:textId="77777777" w:rsidR="00623475" w:rsidRPr="003427A6" w:rsidRDefault="00623475" w:rsidP="00ED1C06">
      <w:pPr>
        <w:pStyle w:val="af6"/>
      </w:pPr>
      <w:r w:rsidRPr="003427A6">
        <w:rPr>
          <w:rStyle w:val="af8"/>
        </w:rPr>
        <w:endnoteRef/>
      </w:r>
      <w:r w:rsidRPr="003427A6">
        <w:t xml:space="preserve"> Lee SH, Kim T, Park ES, Yang S, Jeong D, Choi Y, Rho J. NHE10, an</w:t>
      </w:r>
    </w:p>
    <w:p w14:paraId="74860EC9" w14:textId="77777777" w:rsidR="00623475" w:rsidRPr="003427A6" w:rsidRDefault="00623475" w:rsidP="00ED1C06">
      <w:pPr>
        <w:pStyle w:val="af6"/>
      </w:pPr>
      <w:r w:rsidRPr="003427A6">
        <w:t>osteoclast-specific member of the Na+/H+ exchanger family, regulates osteoclast</w:t>
      </w:r>
    </w:p>
    <w:p w14:paraId="55F23CDD" w14:textId="77777777" w:rsidR="00623475" w:rsidRPr="003427A6" w:rsidRDefault="00623475" w:rsidP="00ED1C06">
      <w:pPr>
        <w:pStyle w:val="af6"/>
      </w:pPr>
      <w:r w:rsidRPr="003427A6">
        <w:t>differentiation and survival [corrected]. Biochem Biophys Res Commun. 2008 May</w:t>
      </w:r>
    </w:p>
    <w:p w14:paraId="4915D043" w14:textId="77777777" w:rsidR="00623475" w:rsidRPr="003427A6" w:rsidRDefault="00623475" w:rsidP="00ED1C06">
      <w:pPr>
        <w:pStyle w:val="af6"/>
      </w:pPr>
      <w:r w:rsidRPr="003427A6">
        <w:t>2;369(2):320-6. doi: 10.1016/j.bbrc.2008.01.168. Epub 2008 Feb 11. Erratum in:</w:t>
      </w:r>
    </w:p>
    <w:p w14:paraId="6E108DD4" w14:textId="64E37C58" w:rsidR="00623475" w:rsidRPr="003427A6" w:rsidRDefault="00623475" w:rsidP="00ED1C06">
      <w:pPr>
        <w:pStyle w:val="af6"/>
      </w:pPr>
      <w:r w:rsidRPr="003427A6">
        <w:t>Biochem Biophys Res Commun. 2008 Aug 15;373(1):174. PubMed PMID: 18269914.</w:t>
      </w:r>
    </w:p>
  </w:endnote>
  <w:endnote w:id="121">
    <w:p w14:paraId="200942E0" w14:textId="77777777" w:rsidR="00623475" w:rsidRPr="003427A6" w:rsidRDefault="00623475" w:rsidP="00D53EBB">
      <w:pPr>
        <w:pStyle w:val="af6"/>
      </w:pPr>
      <w:r w:rsidRPr="003427A6">
        <w:rPr>
          <w:rStyle w:val="af8"/>
        </w:rPr>
        <w:endnoteRef/>
      </w:r>
      <w:r w:rsidRPr="003427A6">
        <w:t xml:space="preserve"> Ohgaki R, van IJzendoorn SC, Matsushita M, Hoekstra D, Kanazawa H. Organellar </w:t>
      </w:r>
    </w:p>
    <w:p w14:paraId="1E574D77" w14:textId="77777777" w:rsidR="00623475" w:rsidRPr="003427A6" w:rsidRDefault="00623475" w:rsidP="00D53EBB">
      <w:pPr>
        <w:pStyle w:val="af6"/>
      </w:pPr>
      <w:r w:rsidRPr="003427A6">
        <w:t>Na+/H+ exchangers: novel players in organelle pH regulation and their emerging</w:t>
      </w:r>
    </w:p>
    <w:p w14:paraId="164389A7" w14:textId="77777777" w:rsidR="00623475" w:rsidRPr="003427A6" w:rsidRDefault="00623475" w:rsidP="00D53EBB">
      <w:pPr>
        <w:pStyle w:val="af6"/>
      </w:pPr>
      <w:r w:rsidRPr="003427A6">
        <w:t>functions. Biochemistry. 2011 Feb 1;50(4):443-50. doi: 10.1021/bi101082e. Epub</w:t>
      </w:r>
    </w:p>
    <w:p w14:paraId="265D7D79" w14:textId="380480B8" w:rsidR="00623475" w:rsidRPr="003427A6" w:rsidRDefault="00623475" w:rsidP="00D53EBB">
      <w:pPr>
        <w:pStyle w:val="af6"/>
      </w:pPr>
      <w:r w:rsidRPr="003427A6">
        <w:t>2010 Dec 30. Review. PubMed PMID: 21171650.</w:t>
      </w:r>
    </w:p>
  </w:endnote>
  <w:endnote w:id="122">
    <w:p w14:paraId="4130F1B5" w14:textId="77777777" w:rsidR="00623475" w:rsidRPr="003427A6" w:rsidRDefault="00623475" w:rsidP="00D53EBB">
      <w:pPr>
        <w:pStyle w:val="af6"/>
      </w:pPr>
      <w:r w:rsidRPr="003427A6">
        <w:rPr>
          <w:rStyle w:val="af8"/>
        </w:rPr>
        <w:endnoteRef/>
      </w:r>
      <w:r w:rsidRPr="003427A6">
        <w:t xml:space="preserve"> Yuan FL, Wu QY, Miao ZN, Xu MH, Xu RS, Jiang DL, Ye JX, Chen FH, Zhao MD, Wang</w:t>
      </w:r>
    </w:p>
    <w:p w14:paraId="0DB57B82" w14:textId="77777777" w:rsidR="00623475" w:rsidRPr="003427A6" w:rsidRDefault="00623475" w:rsidP="00D53EBB">
      <w:pPr>
        <w:pStyle w:val="af6"/>
      </w:pPr>
      <w:r w:rsidRPr="003427A6">
        <w:t>HJ, Li X. Osteoclast-Derived Extracellular Vesicles: Novel Regulators of</w:t>
      </w:r>
    </w:p>
    <w:p w14:paraId="064FDA09" w14:textId="77777777" w:rsidR="00623475" w:rsidRPr="003427A6" w:rsidRDefault="00623475" w:rsidP="00D53EBB">
      <w:pPr>
        <w:pStyle w:val="af6"/>
      </w:pPr>
      <w:r w:rsidRPr="003427A6">
        <w:t>Osteoclastogenesis and Osteoclast-Osteoblasts Communication in Bone Remodeling.</w:t>
      </w:r>
    </w:p>
    <w:p w14:paraId="406C3A66" w14:textId="77777777" w:rsidR="00623475" w:rsidRPr="003427A6" w:rsidRDefault="00623475" w:rsidP="00D53EBB">
      <w:pPr>
        <w:pStyle w:val="af6"/>
      </w:pPr>
      <w:r w:rsidRPr="003427A6">
        <w:t>Front Physiol. 2018 May 30;9:628. doi: 10.3389/fphys.2018.00628. eCollection</w:t>
      </w:r>
    </w:p>
    <w:p w14:paraId="7578DE85" w14:textId="13093E90" w:rsidR="00623475" w:rsidRDefault="00623475" w:rsidP="00D53EBB">
      <w:pPr>
        <w:pStyle w:val="af6"/>
      </w:pPr>
      <w:r w:rsidRPr="003427A6">
        <w:t>2018. Review. PubMed PMID: 29910740; PubMed Central PMCID: PMC5992398.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F5D62" w14:textId="77777777" w:rsidR="00623475" w:rsidRDefault="00623475" w:rsidP="00A2521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7F52CAB" w14:textId="77777777" w:rsidR="00623475" w:rsidRDefault="00623475" w:rsidP="00882E0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DF6E5" w14:textId="609B06E8" w:rsidR="00623475" w:rsidRDefault="00623475" w:rsidP="00A2521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1436C">
      <w:rPr>
        <w:rStyle w:val="a8"/>
        <w:noProof/>
      </w:rPr>
      <w:t>1</w:t>
    </w:r>
    <w:r>
      <w:rPr>
        <w:rStyle w:val="a8"/>
      </w:rPr>
      <w:fldChar w:fldCharType="end"/>
    </w:r>
  </w:p>
  <w:p w14:paraId="07911CE3" w14:textId="77777777" w:rsidR="00623475" w:rsidRDefault="00623475" w:rsidP="00882E0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4B3F1" w14:textId="77777777" w:rsidR="00A40B67" w:rsidRDefault="00A40B67" w:rsidP="00D42BE9">
      <w:r>
        <w:separator/>
      </w:r>
    </w:p>
  </w:footnote>
  <w:footnote w:type="continuationSeparator" w:id="0">
    <w:p w14:paraId="3531E758" w14:textId="77777777" w:rsidR="00A40B67" w:rsidRDefault="00A40B67" w:rsidP="00D42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718D"/>
    <w:multiLevelType w:val="hybridMultilevel"/>
    <w:tmpl w:val="E71CD9FA"/>
    <w:lvl w:ilvl="0" w:tplc="418856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70C58"/>
    <w:multiLevelType w:val="hybridMultilevel"/>
    <w:tmpl w:val="6818D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62F9B"/>
    <w:multiLevelType w:val="hybridMultilevel"/>
    <w:tmpl w:val="75D049E0"/>
    <w:lvl w:ilvl="0" w:tplc="6A6064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98064E"/>
    <w:multiLevelType w:val="hybridMultilevel"/>
    <w:tmpl w:val="148A4FB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793D0F"/>
    <w:multiLevelType w:val="hybridMultilevel"/>
    <w:tmpl w:val="A1A6E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DE6761"/>
    <w:multiLevelType w:val="hybridMultilevel"/>
    <w:tmpl w:val="40B83A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4BC74A7"/>
    <w:multiLevelType w:val="hybridMultilevel"/>
    <w:tmpl w:val="E5769F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6A37F8E"/>
    <w:multiLevelType w:val="hybridMultilevel"/>
    <w:tmpl w:val="9C12C722"/>
    <w:lvl w:ilvl="0" w:tplc="F9B431A4">
      <w:start w:val="1"/>
      <w:numFmt w:val="bullet"/>
      <w:lvlText w:val="-"/>
      <w:lvlJc w:val="left"/>
      <w:pPr>
        <w:tabs>
          <w:tab w:val="num" w:pos="720"/>
        </w:tabs>
        <w:ind w:left="720" w:hanging="360"/>
      </w:pPr>
      <w:rPr>
        <w:rFonts w:ascii="Times New Roman" w:hAnsi="Times New Roman" w:hint="default"/>
      </w:rPr>
    </w:lvl>
    <w:lvl w:ilvl="1" w:tplc="ADB8DE5A" w:tentative="1">
      <w:start w:val="1"/>
      <w:numFmt w:val="bullet"/>
      <w:lvlText w:val="-"/>
      <w:lvlJc w:val="left"/>
      <w:pPr>
        <w:tabs>
          <w:tab w:val="num" w:pos="1440"/>
        </w:tabs>
        <w:ind w:left="1440" w:hanging="360"/>
      </w:pPr>
      <w:rPr>
        <w:rFonts w:ascii="Times New Roman" w:hAnsi="Times New Roman" w:hint="default"/>
      </w:rPr>
    </w:lvl>
    <w:lvl w:ilvl="2" w:tplc="A8DEBF6A" w:tentative="1">
      <w:start w:val="1"/>
      <w:numFmt w:val="bullet"/>
      <w:lvlText w:val="-"/>
      <w:lvlJc w:val="left"/>
      <w:pPr>
        <w:tabs>
          <w:tab w:val="num" w:pos="2160"/>
        </w:tabs>
        <w:ind w:left="2160" w:hanging="360"/>
      </w:pPr>
      <w:rPr>
        <w:rFonts w:ascii="Times New Roman" w:hAnsi="Times New Roman" w:hint="default"/>
      </w:rPr>
    </w:lvl>
    <w:lvl w:ilvl="3" w:tplc="CA0A8A68" w:tentative="1">
      <w:start w:val="1"/>
      <w:numFmt w:val="bullet"/>
      <w:lvlText w:val="-"/>
      <w:lvlJc w:val="left"/>
      <w:pPr>
        <w:tabs>
          <w:tab w:val="num" w:pos="2880"/>
        </w:tabs>
        <w:ind w:left="2880" w:hanging="360"/>
      </w:pPr>
      <w:rPr>
        <w:rFonts w:ascii="Times New Roman" w:hAnsi="Times New Roman" w:hint="default"/>
      </w:rPr>
    </w:lvl>
    <w:lvl w:ilvl="4" w:tplc="589CCC58" w:tentative="1">
      <w:start w:val="1"/>
      <w:numFmt w:val="bullet"/>
      <w:lvlText w:val="-"/>
      <w:lvlJc w:val="left"/>
      <w:pPr>
        <w:tabs>
          <w:tab w:val="num" w:pos="3600"/>
        </w:tabs>
        <w:ind w:left="3600" w:hanging="360"/>
      </w:pPr>
      <w:rPr>
        <w:rFonts w:ascii="Times New Roman" w:hAnsi="Times New Roman" w:hint="default"/>
      </w:rPr>
    </w:lvl>
    <w:lvl w:ilvl="5" w:tplc="0AAE0F6C" w:tentative="1">
      <w:start w:val="1"/>
      <w:numFmt w:val="bullet"/>
      <w:lvlText w:val="-"/>
      <w:lvlJc w:val="left"/>
      <w:pPr>
        <w:tabs>
          <w:tab w:val="num" w:pos="4320"/>
        </w:tabs>
        <w:ind w:left="4320" w:hanging="360"/>
      </w:pPr>
      <w:rPr>
        <w:rFonts w:ascii="Times New Roman" w:hAnsi="Times New Roman" w:hint="default"/>
      </w:rPr>
    </w:lvl>
    <w:lvl w:ilvl="6" w:tplc="E57C4A24" w:tentative="1">
      <w:start w:val="1"/>
      <w:numFmt w:val="bullet"/>
      <w:lvlText w:val="-"/>
      <w:lvlJc w:val="left"/>
      <w:pPr>
        <w:tabs>
          <w:tab w:val="num" w:pos="5040"/>
        </w:tabs>
        <w:ind w:left="5040" w:hanging="360"/>
      </w:pPr>
      <w:rPr>
        <w:rFonts w:ascii="Times New Roman" w:hAnsi="Times New Roman" w:hint="default"/>
      </w:rPr>
    </w:lvl>
    <w:lvl w:ilvl="7" w:tplc="C0EE11EE" w:tentative="1">
      <w:start w:val="1"/>
      <w:numFmt w:val="bullet"/>
      <w:lvlText w:val="-"/>
      <w:lvlJc w:val="left"/>
      <w:pPr>
        <w:tabs>
          <w:tab w:val="num" w:pos="5760"/>
        </w:tabs>
        <w:ind w:left="5760" w:hanging="360"/>
      </w:pPr>
      <w:rPr>
        <w:rFonts w:ascii="Times New Roman" w:hAnsi="Times New Roman" w:hint="default"/>
      </w:rPr>
    </w:lvl>
    <w:lvl w:ilvl="8" w:tplc="45A89EE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0C32DDD"/>
    <w:multiLevelType w:val="multilevel"/>
    <w:tmpl w:val="49B88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BD3CD3"/>
    <w:multiLevelType w:val="hybridMultilevel"/>
    <w:tmpl w:val="6818D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7C7983"/>
    <w:multiLevelType w:val="hybridMultilevel"/>
    <w:tmpl w:val="A5F64074"/>
    <w:lvl w:ilvl="0" w:tplc="FDFA0D4E">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5"/>
  </w:num>
  <w:num w:numId="5">
    <w:abstractNumId w:val="4"/>
  </w:num>
  <w:num w:numId="6">
    <w:abstractNumId w:val="6"/>
  </w:num>
  <w:num w:numId="7">
    <w:abstractNumId w:val="10"/>
  </w:num>
  <w:num w:numId="8">
    <w:abstractNumId w:val="0"/>
  </w:num>
  <w:num w:numId="9">
    <w:abstractNumId w:val="2"/>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irculation&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dzd0pfeawxes9exsf4vavrjpvzw9savwdea&quot;&gt;SGLT2(1) Copy&lt;record-ids&gt;&lt;item&gt;1&lt;/item&gt;&lt;item&gt;2&lt;/item&gt;&lt;item&gt;3&lt;/item&gt;&lt;item&gt;4&lt;/item&gt;&lt;item&gt;6&lt;/item&gt;&lt;item&gt;8&lt;/item&gt;&lt;item&gt;9&lt;/item&gt;&lt;item&gt;10&lt;/item&gt;&lt;item&gt;11&lt;/item&gt;&lt;item&gt;12&lt;/item&gt;&lt;item&gt;14&lt;/item&gt;&lt;item&gt;15&lt;/item&gt;&lt;item&gt;20&lt;/item&gt;&lt;item&gt;22&lt;/item&gt;&lt;item&gt;23&lt;/item&gt;&lt;item&gt;25&lt;/item&gt;&lt;item&gt;27&lt;/item&gt;&lt;item&gt;28&lt;/item&gt;&lt;item&gt;29&lt;/item&gt;&lt;item&gt;32&lt;/item&gt;&lt;item&gt;33&lt;/item&gt;&lt;item&gt;35&lt;/item&gt;&lt;item&gt;36&lt;/item&gt;&lt;item&gt;37&lt;/item&gt;&lt;item&gt;38&lt;/item&gt;&lt;item&gt;39&lt;/item&gt;&lt;item&gt;40&lt;/item&gt;&lt;item&gt;54&lt;/item&gt;&lt;item&gt;58&lt;/item&gt;&lt;item&gt;75&lt;/item&gt;&lt;item&gt;76&lt;/item&gt;&lt;item&gt;88&lt;/item&gt;&lt;item&gt;100&lt;/item&gt;&lt;item&gt;103&lt;/item&gt;&lt;item&gt;106&lt;/item&gt;&lt;item&gt;108&lt;/item&gt;&lt;item&gt;111&lt;/item&gt;&lt;item&gt;112&lt;/item&gt;&lt;item&gt;113&lt;/item&gt;&lt;item&gt;122&lt;/item&gt;&lt;item&gt;132&lt;/item&gt;&lt;item&gt;133&lt;/item&gt;&lt;item&gt;136&lt;/item&gt;&lt;item&gt;143&lt;/item&gt;&lt;item&gt;144&lt;/item&gt;&lt;item&gt;153&lt;/item&gt;&lt;item&gt;154&lt;/item&gt;&lt;item&gt;156&lt;/item&gt;&lt;item&gt;157&lt;/item&gt;&lt;item&gt;159&lt;/item&gt;&lt;item&gt;160&lt;/item&gt;&lt;item&gt;161&lt;/item&gt;&lt;item&gt;162&lt;/item&gt;&lt;item&gt;163&lt;/item&gt;&lt;item&gt;167&lt;/item&gt;&lt;item&gt;170&lt;/item&gt;&lt;item&gt;171&lt;/item&gt;&lt;item&gt;172&lt;/item&gt;&lt;item&gt;173&lt;/item&gt;&lt;item&gt;175&lt;/item&gt;&lt;item&gt;176&lt;/item&gt;&lt;item&gt;177&lt;/item&gt;&lt;item&gt;181&lt;/item&gt;&lt;item&gt;182&lt;/item&gt;&lt;item&gt;183&lt;/item&gt;&lt;item&gt;184&lt;/item&gt;&lt;item&gt;185&lt;/item&gt;&lt;item&gt;186&lt;/item&gt;&lt;item&gt;187&lt;/item&gt;&lt;item&gt;188&lt;/item&gt;&lt;item&gt;189&lt;/item&gt;&lt;item&gt;191&lt;/item&gt;&lt;item&gt;192&lt;/item&gt;&lt;item&gt;193&lt;/item&gt;&lt;item&gt;195&lt;/item&gt;&lt;item&gt;196&lt;/item&gt;&lt;item&gt;197&lt;/item&gt;&lt;item&gt;199&lt;/item&gt;&lt;item&gt;203&lt;/item&gt;&lt;item&gt;204&lt;/item&gt;&lt;item&gt;206&lt;/item&gt;&lt;item&gt;207&lt;/item&gt;&lt;item&gt;208&lt;/item&gt;&lt;item&gt;210&lt;/item&gt;&lt;/record-ids&gt;&lt;/item&gt;&lt;/Libraries&gt;"/>
  </w:docVars>
  <w:rsids>
    <w:rsidRoot w:val="00F21EDC"/>
    <w:rsid w:val="0000095A"/>
    <w:rsid w:val="000015A6"/>
    <w:rsid w:val="00002010"/>
    <w:rsid w:val="00003B99"/>
    <w:rsid w:val="00005E88"/>
    <w:rsid w:val="00013033"/>
    <w:rsid w:val="0001436C"/>
    <w:rsid w:val="00016BE2"/>
    <w:rsid w:val="00021556"/>
    <w:rsid w:val="00021D01"/>
    <w:rsid w:val="00023335"/>
    <w:rsid w:val="0002447E"/>
    <w:rsid w:val="0002481A"/>
    <w:rsid w:val="000312F8"/>
    <w:rsid w:val="00033FC5"/>
    <w:rsid w:val="00034FB6"/>
    <w:rsid w:val="00040932"/>
    <w:rsid w:val="000424CE"/>
    <w:rsid w:val="00042763"/>
    <w:rsid w:val="00043778"/>
    <w:rsid w:val="00044D26"/>
    <w:rsid w:val="00046A35"/>
    <w:rsid w:val="000536FC"/>
    <w:rsid w:val="00056BF4"/>
    <w:rsid w:val="00057644"/>
    <w:rsid w:val="0005772E"/>
    <w:rsid w:val="000644F1"/>
    <w:rsid w:val="00064DE8"/>
    <w:rsid w:val="0006596E"/>
    <w:rsid w:val="00066A68"/>
    <w:rsid w:val="00066A9E"/>
    <w:rsid w:val="00066EF6"/>
    <w:rsid w:val="00071456"/>
    <w:rsid w:val="000717B5"/>
    <w:rsid w:val="00075DE4"/>
    <w:rsid w:val="00083B27"/>
    <w:rsid w:val="0008652C"/>
    <w:rsid w:val="0009009C"/>
    <w:rsid w:val="000914BA"/>
    <w:rsid w:val="00093A03"/>
    <w:rsid w:val="00094952"/>
    <w:rsid w:val="00096CEC"/>
    <w:rsid w:val="0009766E"/>
    <w:rsid w:val="000A1CA0"/>
    <w:rsid w:val="000A24DE"/>
    <w:rsid w:val="000A2B0B"/>
    <w:rsid w:val="000A2C12"/>
    <w:rsid w:val="000A3CC5"/>
    <w:rsid w:val="000A4F58"/>
    <w:rsid w:val="000C30B3"/>
    <w:rsid w:val="000C5FA3"/>
    <w:rsid w:val="000C6F07"/>
    <w:rsid w:val="000C7DB1"/>
    <w:rsid w:val="000D0923"/>
    <w:rsid w:val="000D0BCB"/>
    <w:rsid w:val="000D1757"/>
    <w:rsid w:val="000D18DC"/>
    <w:rsid w:val="000D273B"/>
    <w:rsid w:val="000D5EF4"/>
    <w:rsid w:val="000D6564"/>
    <w:rsid w:val="000D7518"/>
    <w:rsid w:val="000E0C4E"/>
    <w:rsid w:val="000E443C"/>
    <w:rsid w:val="000F04CD"/>
    <w:rsid w:val="000F7F31"/>
    <w:rsid w:val="001000FB"/>
    <w:rsid w:val="00102700"/>
    <w:rsid w:val="00102885"/>
    <w:rsid w:val="00110267"/>
    <w:rsid w:val="001111AC"/>
    <w:rsid w:val="00120C49"/>
    <w:rsid w:val="001217CB"/>
    <w:rsid w:val="00125C13"/>
    <w:rsid w:val="00126E1C"/>
    <w:rsid w:val="001304E5"/>
    <w:rsid w:val="00135304"/>
    <w:rsid w:val="00140188"/>
    <w:rsid w:val="001436D9"/>
    <w:rsid w:val="00144825"/>
    <w:rsid w:val="00144B3E"/>
    <w:rsid w:val="001470F7"/>
    <w:rsid w:val="001477CD"/>
    <w:rsid w:val="00153DFA"/>
    <w:rsid w:val="00154877"/>
    <w:rsid w:val="00155B7C"/>
    <w:rsid w:val="00157D87"/>
    <w:rsid w:val="00161B71"/>
    <w:rsid w:val="001638D2"/>
    <w:rsid w:val="00167AED"/>
    <w:rsid w:val="00174A53"/>
    <w:rsid w:val="00175A18"/>
    <w:rsid w:val="00181ED0"/>
    <w:rsid w:val="00186815"/>
    <w:rsid w:val="00191CE3"/>
    <w:rsid w:val="001920CF"/>
    <w:rsid w:val="0019210F"/>
    <w:rsid w:val="00194621"/>
    <w:rsid w:val="00195368"/>
    <w:rsid w:val="00196AFB"/>
    <w:rsid w:val="00197B9B"/>
    <w:rsid w:val="00197F43"/>
    <w:rsid w:val="001A025D"/>
    <w:rsid w:val="001A4FC8"/>
    <w:rsid w:val="001B1F35"/>
    <w:rsid w:val="001B38B4"/>
    <w:rsid w:val="001B4C2C"/>
    <w:rsid w:val="001B5953"/>
    <w:rsid w:val="001B648B"/>
    <w:rsid w:val="001B681B"/>
    <w:rsid w:val="001C18FD"/>
    <w:rsid w:val="001C237D"/>
    <w:rsid w:val="001C2D13"/>
    <w:rsid w:val="001C2FC8"/>
    <w:rsid w:val="001C3D4E"/>
    <w:rsid w:val="001D1471"/>
    <w:rsid w:val="001D2A9F"/>
    <w:rsid w:val="001D2B56"/>
    <w:rsid w:val="001D5AE5"/>
    <w:rsid w:val="001D7B3A"/>
    <w:rsid w:val="001E1959"/>
    <w:rsid w:val="001F1C0D"/>
    <w:rsid w:val="001F1DB4"/>
    <w:rsid w:val="001F4B82"/>
    <w:rsid w:val="001F56C0"/>
    <w:rsid w:val="001F6ACA"/>
    <w:rsid w:val="001F77B1"/>
    <w:rsid w:val="002024F6"/>
    <w:rsid w:val="00202A55"/>
    <w:rsid w:val="00203769"/>
    <w:rsid w:val="00203973"/>
    <w:rsid w:val="00203B11"/>
    <w:rsid w:val="0021413A"/>
    <w:rsid w:val="00233D4A"/>
    <w:rsid w:val="00234442"/>
    <w:rsid w:val="00236D33"/>
    <w:rsid w:val="00244E3E"/>
    <w:rsid w:val="00245832"/>
    <w:rsid w:val="00245BB4"/>
    <w:rsid w:val="00250856"/>
    <w:rsid w:val="00250AEA"/>
    <w:rsid w:val="00251676"/>
    <w:rsid w:val="00257E66"/>
    <w:rsid w:val="00260D86"/>
    <w:rsid w:val="00262BB2"/>
    <w:rsid w:val="00262C5D"/>
    <w:rsid w:val="002711E6"/>
    <w:rsid w:val="002735D0"/>
    <w:rsid w:val="00274D51"/>
    <w:rsid w:val="0028366E"/>
    <w:rsid w:val="00283EB3"/>
    <w:rsid w:val="00284785"/>
    <w:rsid w:val="00284AC7"/>
    <w:rsid w:val="002A007D"/>
    <w:rsid w:val="002A2F85"/>
    <w:rsid w:val="002A49B9"/>
    <w:rsid w:val="002A4A96"/>
    <w:rsid w:val="002A66D5"/>
    <w:rsid w:val="002A6F59"/>
    <w:rsid w:val="002B0294"/>
    <w:rsid w:val="002B1447"/>
    <w:rsid w:val="002B2625"/>
    <w:rsid w:val="002B32DD"/>
    <w:rsid w:val="002B3D79"/>
    <w:rsid w:val="002B6B36"/>
    <w:rsid w:val="002B7EE1"/>
    <w:rsid w:val="002C002F"/>
    <w:rsid w:val="002C17C0"/>
    <w:rsid w:val="002C26FA"/>
    <w:rsid w:val="002C3623"/>
    <w:rsid w:val="002C5379"/>
    <w:rsid w:val="002C63F0"/>
    <w:rsid w:val="002C67E6"/>
    <w:rsid w:val="002C752A"/>
    <w:rsid w:val="002C7E73"/>
    <w:rsid w:val="002D01C8"/>
    <w:rsid w:val="002D05F2"/>
    <w:rsid w:val="002D766E"/>
    <w:rsid w:val="002E0D90"/>
    <w:rsid w:val="002E0EE6"/>
    <w:rsid w:val="002E1261"/>
    <w:rsid w:val="002E1D09"/>
    <w:rsid w:val="002E57EC"/>
    <w:rsid w:val="002E5D2D"/>
    <w:rsid w:val="002E6060"/>
    <w:rsid w:val="002E61EF"/>
    <w:rsid w:val="002E6EC9"/>
    <w:rsid w:val="002F61BA"/>
    <w:rsid w:val="00303A28"/>
    <w:rsid w:val="00304B30"/>
    <w:rsid w:val="00304DA1"/>
    <w:rsid w:val="003115DA"/>
    <w:rsid w:val="00314BFE"/>
    <w:rsid w:val="00315CD5"/>
    <w:rsid w:val="00320EB0"/>
    <w:rsid w:val="003259FF"/>
    <w:rsid w:val="0034268C"/>
    <w:rsid w:val="003427A6"/>
    <w:rsid w:val="00343644"/>
    <w:rsid w:val="003445A4"/>
    <w:rsid w:val="00347495"/>
    <w:rsid w:val="00351383"/>
    <w:rsid w:val="003519E4"/>
    <w:rsid w:val="003523C5"/>
    <w:rsid w:val="003535C9"/>
    <w:rsid w:val="003561D3"/>
    <w:rsid w:val="003568F7"/>
    <w:rsid w:val="00356B5F"/>
    <w:rsid w:val="00356C75"/>
    <w:rsid w:val="00356F85"/>
    <w:rsid w:val="0036030E"/>
    <w:rsid w:val="003655F8"/>
    <w:rsid w:val="00367A3E"/>
    <w:rsid w:val="00374DC4"/>
    <w:rsid w:val="00377018"/>
    <w:rsid w:val="00380C16"/>
    <w:rsid w:val="00380FBB"/>
    <w:rsid w:val="00381EB7"/>
    <w:rsid w:val="00384E85"/>
    <w:rsid w:val="00385090"/>
    <w:rsid w:val="003904BB"/>
    <w:rsid w:val="00390EE0"/>
    <w:rsid w:val="00391831"/>
    <w:rsid w:val="00394F66"/>
    <w:rsid w:val="003A2836"/>
    <w:rsid w:val="003A43A0"/>
    <w:rsid w:val="003A5337"/>
    <w:rsid w:val="003A6436"/>
    <w:rsid w:val="003B191E"/>
    <w:rsid w:val="003B1FC5"/>
    <w:rsid w:val="003B54CF"/>
    <w:rsid w:val="003C182D"/>
    <w:rsid w:val="003C1E8E"/>
    <w:rsid w:val="003C205B"/>
    <w:rsid w:val="003C24D6"/>
    <w:rsid w:val="003C6893"/>
    <w:rsid w:val="003C710B"/>
    <w:rsid w:val="003C7498"/>
    <w:rsid w:val="003D0598"/>
    <w:rsid w:val="003D57D0"/>
    <w:rsid w:val="003D6B6B"/>
    <w:rsid w:val="003E0220"/>
    <w:rsid w:val="003E5B41"/>
    <w:rsid w:val="003F5778"/>
    <w:rsid w:val="003F6DC8"/>
    <w:rsid w:val="00401AEA"/>
    <w:rsid w:val="00401B6A"/>
    <w:rsid w:val="00401DE7"/>
    <w:rsid w:val="00402034"/>
    <w:rsid w:val="00404F2C"/>
    <w:rsid w:val="004114A8"/>
    <w:rsid w:val="00415AE2"/>
    <w:rsid w:val="004161D8"/>
    <w:rsid w:val="00417292"/>
    <w:rsid w:val="00420209"/>
    <w:rsid w:val="0042056D"/>
    <w:rsid w:val="00421F33"/>
    <w:rsid w:val="004316B6"/>
    <w:rsid w:val="00431D02"/>
    <w:rsid w:val="004329B0"/>
    <w:rsid w:val="00434188"/>
    <w:rsid w:val="00437EA2"/>
    <w:rsid w:val="00445522"/>
    <w:rsid w:val="00446D24"/>
    <w:rsid w:val="004528FC"/>
    <w:rsid w:val="0045579D"/>
    <w:rsid w:val="00456CF5"/>
    <w:rsid w:val="00463020"/>
    <w:rsid w:val="00463651"/>
    <w:rsid w:val="0046664F"/>
    <w:rsid w:val="004670D8"/>
    <w:rsid w:val="0046742E"/>
    <w:rsid w:val="00472887"/>
    <w:rsid w:val="0047462E"/>
    <w:rsid w:val="00477A10"/>
    <w:rsid w:val="004863EC"/>
    <w:rsid w:val="0048744F"/>
    <w:rsid w:val="00490CF1"/>
    <w:rsid w:val="00493CC4"/>
    <w:rsid w:val="004942F3"/>
    <w:rsid w:val="00495FCE"/>
    <w:rsid w:val="004968A8"/>
    <w:rsid w:val="00496AB3"/>
    <w:rsid w:val="00496DD8"/>
    <w:rsid w:val="004A401F"/>
    <w:rsid w:val="004B16B8"/>
    <w:rsid w:val="004B2C0C"/>
    <w:rsid w:val="004B4A7A"/>
    <w:rsid w:val="004C1AF9"/>
    <w:rsid w:val="004C5076"/>
    <w:rsid w:val="004D00D5"/>
    <w:rsid w:val="004D33E7"/>
    <w:rsid w:val="004D5B40"/>
    <w:rsid w:val="004E0B04"/>
    <w:rsid w:val="004E1FBB"/>
    <w:rsid w:val="004E479A"/>
    <w:rsid w:val="004E55EE"/>
    <w:rsid w:val="004F5913"/>
    <w:rsid w:val="004F5DAA"/>
    <w:rsid w:val="004F7CD7"/>
    <w:rsid w:val="00501DC6"/>
    <w:rsid w:val="00503324"/>
    <w:rsid w:val="0050714B"/>
    <w:rsid w:val="00507823"/>
    <w:rsid w:val="005157DA"/>
    <w:rsid w:val="00517EC1"/>
    <w:rsid w:val="00527B7D"/>
    <w:rsid w:val="00530733"/>
    <w:rsid w:val="00532DFD"/>
    <w:rsid w:val="00533882"/>
    <w:rsid w:val="005349E7"/>
    <w:rsid w:val="00535C10"/>
    <w:rsid w:val="0054065C"/>
    <w:rsid w:val="00543289"/>
    <w:rsid w:val="00544A04"/>
    <w:rsid w:val="00545350"/>
    <w:rsid w:val="005508CB"/>
    <w:rsid w:val="00556F0F"/>
    <w:rsid w:val="005570C4"/>
    <w:rsid w:val="00560B67"/>
    <w:rsid w:val="00561B61"/>
    <w:rsid w:val="0056235B"/>
    <w:rsid w:val="0057395F"/>
    <w:rsid w:val="0057489A"/>
    <w:rsid w:val="00575FB9"/>
    <w:rsid w:val="00577C70"/>
    <w:rsid w:val="00581515"/>
    <w:rsid w:val="00582256"/>
    <w:rsid w:val="00582D21"/>
    <w:rsid w:val="00582F52"/>
    <w:rsid w:val="00585BE9"/>
    <w:rsid w:val="00585DB8"/>
    <w:rsid w:val="00587059"/>
    <w:rsid w:val="00587A17"/>
    <w:rsid w:val="00591E1E"/>
    <w:rsid w:val="00593989"/>
    <w:rsid w:val="00593F74"/>
    <w:rsid w:val="00594DBC"/>
    <w:rsid w:val="005963D4"/>
    <w:rsid w:val="00597AED"/>
    <w:rsid w:val="005A2CC6"/>
    <w:rsid w:val="005A7617"/>
    <w:rsid w:val="005B3EAA"/>
    <w:rsid w:val="005B4168"/>
    <w:rsid w:val="005B4296"/>
    <w:rsid w:val="005B5339"/>
    <w:rsid w:val="005B60ED"/>
    <w:rsid w:val="005B6267"/>
    <w:rsid w:val="005B7F8C"/>
    <w:rsid w:val="005C25D6"/>
    <w:rsid w:val="005C613E"/>
    <w:rsid w:val="005C65BE"/>
    <w:rsid w:val="005D00FE"/>
    <w:rsid w:val="005D05C9"/>
    <w:rsid w:val="005D1996"/>
    <w:rsid w:val="005D47AF"/>
    <w:rsid w:val="005D4CDC"/>
    <w:rsid w:val="005D5DE8"/>
    <w:rsid w:val="005E2B70"/>
    <w:rsid w:val="005E49F1"/>
    <w:rsid w:val="005E5F7F"/>
    <w:rsid w:val="005F01ED"/>
    <w:rsid w:val="005F19EE"/>
    <w:rsid w:val="005F3A19"/>
    <w:rsid w:val="005F6349"/>
    <w:rsid w:val="006011EF"/>
    <w:rsid w:val="00601561"/>
    <w:rsid w:val="0060195C"/>
    <w:rsid w:val="006036C7"/>
    <w:rsid w:val="0060494D"/>
    <w:rsid w:val="00605761"/>
    <w:rsid w:val="00607AAB"/>
    <w:rsid w:val="00614F57"/>
    <w:rsid w:val="006154D4"/>
    <w:rsid w:val="0061582E"/>
    <w:rsid w:val="00617BEB"/>
    <w:rsid w:val="0062123C"/>
    <w:rsid w:val="00623475"/>
    <w:rsid w:val="00623ED1"/>
    <w:rsid w:val="006245C4"/>
    <w:rsid w:val="00632128"/>
    <w:rsid w:val="0063471A"/>
    <w:rsid w:val="00635532"/>
    <w:rsid w:val="006375EF"/>
    <w:rsid w:val="0064065D"/>
    <w:rsid w:val="00642BE4"/>
    <w:rsid w:val="00642CF9"/>
    <w:rsid w:val="00643490"/>
    <w:rsid w:val="00644E5D"/>
    <w:rsid w:val="00645529"/>
    <w:rsid w:val="006515B0"/>
    <w:rsid w:val="00651ABF"/>
    <w:rsid w:val="00653A64"/>
    <w:rsid w:val="0065410F"/>
    <w:rsid w:val="00654C5B"/>
    <w:rsid w:val="0065797E"/>
    <w:rsid w:val="00661951"/>
    <w:rsid w:val="006666FC"/>
    <w:rsid w:val="0067187B"/>
    <w:rsid w:val="006718A6"/>
    <w:rsid w:val="00673DD8"/>
    <w:rsid w:val="0068381F"/>
    <w:rsid w:val="0068736C"/>
    <w:rsid w:val="00690EF5"/>
    <w:rsid w:val="006911A2"/>
    <w:rsid w:val="006920D5"/>
    <w:rsid w:val="00693F1D"/>
    <w:rsid w:val="006946F6"/>
    <w:rsid w:val="00695982"/>
    <w:rsid w:val="00696334"/>
    <w:rsid w:val="006A001D"/>
    <w:rsid w:val="006A06B1"/>
    <w:rsid w:val="006A142A"/>
    <w:rsid w:val="006A371D"/>
    <w:rsid w:val="006A5259"/>
    <w:rsid w:val="006B182F"/>
    <w:rsid w:val="006B1ED6"/>
    <w:rsid w:val="006B4A04"/>
    <w:rsid w:val="006B786F"/>
    <w:rsid w:val="006C17E7"/>
    <w:rsid w:val="006C60D3"/>
    <w:rsid w:val="006C7889"/>
    <w:rsid w:val="006D0D7F"/>
    <w:rsid w:val="006D1E98"/>
    <w:rsid w:val="006D44AE"/>
    <w:rsid w:val="006D7EF9"/>
    <w:rsid w:val="006D7F4A"/>
    <w:rsid w:val="006E58D0"/>
    <w:rsid w:val="006E7C5A"/>
    <w:rsid w:val="006E7D32"/>
    <w:rsid w:val="006F268B"/>
    <w:rsid w:val="006F2B1D"/>
    <w:rsid w:val="006F5092"/>
    <w:rsid w:val="006F7841"/>
    <w:rsid w:val="006F7FB5"/>
    <w:rsid w:val="006F7FFC"/>
    <w:rsid w:val="00700EBA"/>
    <w:rsid w:val="007036A0"/>
    <w:rsid w:val="00705083"/>
    <w:rsid w:val="007114B3"/>
    <w:rsid w:val="007122FD"/>
    <w:rsid w:val="007128DC"/>
    <w:rsid w:val="00712951"/>
    <w:rsid w:val="00720634"/>
    <w:rsid w:val="00720804"/>
    <w:rsid w:val="00720B16"/>
    <w:rsid w:val="00721FB3"/>
    <w:rsid w:val="007222F5"/>
    <w:rsid w:val="00726A3C"/>
    <w:rsid w:val="00726CDC"/>
    <w:rsid w:val="00732484"/>
    <w:rsid w:val="007335F4"/>
    <w:rsid w:val="00736422"/>
    <w:rsid w:val="00741059"/>
    <w:rsid w:val="007441A0"/>
    <w:rsid w:val="0074777F"/>
    <w:rsid w:val="0075754F"/>
    <w:rsid w:val="007606A1"/>
    <w:rsid w:val="00760B0D"/>
    <w:rsid w:val="007614D8"/>
    <w:rsid w:val="0076230C"/>
    <w:rsid w:val="0077224E"/>
    <w:rsid w:val="00774013"/>
    <w:rsid w:val="00774844"/>
    <w:rsid w:val="007754AE"/>
    <w:rsid w:val="00780810"/>
    <w:rsid w:val="00782431"/>
    <w:rsid w:val="007846AA"/>
    <w:rsid w:val="00784AE2"/>
    <w:rsid w:val="00786B6A"/>
    <w:rsid w:val="00793AC9"/>
    <w:rsid w:val="00797D7F"/>
    <w:rsid w:val="007A0DCF"/>
    <w:rsid w:val="007A3171"/>
    <w:rsid w:val="007A5616"/>
    <w:rsid w:val="007A6276"/>
    <w:rsid w:val="007B019B"/>
    <w:rsid w:val="007B0F48"/>
    <w:rsid w:val="007B2B85"/>
    <w:rsid w:val="007B4508"/>
    <w:rsid w:val="007B67AB"/>
    <w:rsid w:val="007B6E70"/>
    <w:rsid w:val="007B7D49"/>
    <w:rsid w:val="007C2184"/>
    <w:rsid w:val="007C2C12"/>
    <w:rsid w:val="007C2C75"/>
    <w:rsid w:val="007C2E51"/>
    <w:rsid w:val="007C424F"/>
    <w:rsid w:val="007C4E7D"/>
    <w:rsid w:val="007C5544"/>
    <w:rsid w:val="007C570A"/>
    <w:rsid w:val="007D6404"/>
    <w:rsid w:val="007D6515"/>
    <w:rsid w:val="007E2BD4"/>
    <w:rsid w:val="007E45DD"/>
    <w:rsid w:val="007E5BD2"/>
    <w:rsid w:val="007E68E3"/>
    <w:rsid w:val="007E7E7B"/>
    <w:rsid w:val="007F2CAE"/>
    <w:rsid w:val="007F5903"/>
    <w:rsid w:val="007F6A4F"/>
    <w:rsid w:val="007F7A68"/>
    <w:rsid w:val="0080012B"/>
    <w:rsid w:val="0080017A"/>
    <w:rsid w:val="008002B8"/>
    <w:rsid w:val="00807138"/>
    <w:rsid w:val="00810726"/>
    <w:rsid w:val="00810E94"/>
    <w:rsid w:val="008111AB"/>
    <w:rsid w:val="00811B81"/>
    <w:rsid w:val="00814B17"/>
    <w:rsid w:val="008165D8"/>
    <w:rsid w:val="00817F05"/>
    <w:rsid w:val="008200DE"/>
    <w:rsid w:val="008215FC"/>
    <w:rsid w:val="00823657"/>
    <w:rsid w:val="00831F5A"/>
    <w:rsid w:val="00834812"/>
    <w:rsid w:val="008371C2"/>
    <w:rsid w:val="0083746C"/>
    <w:rsid w:val="00837D50"/>
    <w:rsid w:val="0084633A"/>
    <w:rsid w:val="00846F21"/>
    <w:rsid w:val="008502E0"/>
    <w:rsid w:val="00852813"/>
    <w:rsid w:val="00861088"/>
    <w:rsid w:val="0086434A"/>
    <w:rsid w:val="00872DE8"/>
    <w:rsid w:val="008807E5"/>
    <w:rsid w:val="00882E0A"/>
    <w:rsid w:val="00886947"/>
    <w:rsid w:val="0089774C"/>
    <w:rsid w:val="008A0BEB"/>
    <w:rsid w:val="008A1831"/>
    <w:rsid w:val="008A39E2"/>
    <w:rsid w:val="008A70C0"/>
    <w:rsid w:val="008B0D60"/>
    <w:rsid w:val="008B2CA8"/>
    <w:rsid w:val="008B4519"/>
    <w:rsid w:val="008B6C3D"/>
    <w:rsid w:val="008B6DEE"/>
    <w:rsid w:val="008B71AB"/>
    <w:rsid w:val="008C056E"/>
    <w:rsid w:val="008C4178"/>
    <w:rsid w:val="008D046E"/>
    <w:rsid w:val="008D2ADC"/>
    <w:rsid w:val="008D5CB9"/>
    <w:rsid w:val="008E4AB0"/>
    <w:rsid w:val="008F09FB"/>
    <w:rsid w:val="008F2682"/>
    <w:rsid w:val="008F65AF"/>
    <w:rsid w:val="009031E7"/>
    <w:rsid w:val="0090458A"/>
    <w:rsid w:val="0090754C"/>
    <w:rsid w:val="009117DE"/>
    <w:rsid w:val="00911B00"/>
    <w:rsid w:val="0092229C"/>
    <w:rsid w:val="009248D6"/>
    <w:rsid w:val="00924B49"/>
    <w:rsid w:val="00924E68"/>
    <w:rsid w:val="00927597"/>
    <w:rsid w:val="00927864"/>
    <w:rsid w:val="00927B21"/>
    <w:rsid w:val="009324B8"/>
    <w:rsid w:val="009342A9"/>
    <w:rsid w:val="00936095"/>
    <w:rsid w:val="00940C4E"/>
    <w:rsid w:val="00941A7B"/>
    <w:rsid w:val="00942901"/>
    <w:rsid w:val="00942C12"/>
    <w:rsid w:val="009466A7"/>
    <w:rsid w:val="00954575"/>
    <w:rsid w:val="009558DB"/>
    <w:rsid w:val="0096489B"/>
    <w:rsid w:val="00966F1C"/>
    <w:rsid w:val="00970535"/>
    <w:rsid w:val="009731E1"/>
    <w:rsid w:val="009756CD"/>
    <w:rsid w:val="00980C3C"/>
    <w:rsid w:val="009838C9"/>
    <w:rsid w:val="00983E2E"/>
    <w:rsid w:val="009847B5"/>
    <w:rsid w:val="0099096E"/>
    <w:rsid w:val="009935BC"/>
    <w:rsid w:val="00997CE0"/>
    <w:rsid w:val="009A0F2A"/>
    <w:rsid w:val="009A2B9E"/>
    <w:rsid w:val="009A3A97"/>
    <w:rsid w:val="009A45D4"/>
    <w:rsid w:val="009A5E1C"/>
    <w:rsid w:val="009A6CFE"/>
    <w:rsid w:val="009B282B"/>
    <w:rsid w:val="009B6AEA"/>
    <w:rsid w:val="009B7034"/>
    <w:rsid w:val="009C04D3"/>
    <w:rsid w:val="009C0FDA"/>
    <w:rsid w:val="009C3CB6"/>
    <w:rsid w:val="009C58BD"/>
    <w:rsid w:val="009C5F88"/>
    <w:rsid w:val="009C6910"/>
    <w:rsid w:val="009D343E"/>
    <w:rsid w:val="009D718C"/>
    <w:rsid w:val="009E117E"/>
    <w:rsid w:val="009E4199"/>
    <w:rsid w:val="009E6137"/>
    <w:rsid w:val="009F0979"/>
    <w:rsid w:val="009F3237"/>
    <w:rsid w:val="009F3744"/>
    <w:rsid w:val="009F40FE"/>
    <w:rsid w:val="009F529E"/>
    <w:rsid w:val="009F5E69"/>
    <w:rsid w:val="009F6D1C"/>
    <w:rsid w:val="00A01D84"/>
    <w:rsid w:val="00A03648"/>
    <w:rsid w:val="00A05E54"/>
    <w:rsid w:val="00A06AAE"/>
    <w:rsid w:val="00A06E16"/>
    <w:rsid w:val="00A07B04"/>
    <w:rsid w:val="00A13EFD"/>
    <w:rsid w:val="00A149C8"/>
    <w:rsid w:val="00A14E85"/>
    <w:rsid w:val="00A210B7"/>
    <w:rsid w:val="00A25210"/>
    <w:rsid w:val="00A26663"/>
    <w:rsid w:val="00A266F1"/>
    <w:rsid w:val="00A27F34"/>
    <w:rsid w:val="00A30B38"/>
    <w:rsid w:val="00A3147D"/>
    <w:rsid w:val="00A3192B"/>
    <w:rsid w:val="00A31FF2"/>
    <w:rsid w:val="00A36FB2"/>
    <w:rsid w:val="00A40B67"/>
    <w:rsid w:val="00A43414"/>
    <w:rsid w:val="00A43C0A"/>
    <w:rsid w:val="00A4613E"/>
    <w:rsid w:val="00A51203"/>
    <w:rsid w:val="00A57015"/>
    <w:rsid w:val="00A57CE0"/>
    <w:rsid w:val="00A6007E"/>
    <w:rsid w:val="00A616C4"/>
    <w:rsid w:val="00A62B90"/>
    <w:rsid w:val="00A63421"/>
    <w:rsid w:val="00A63F1D"/>
    <w:rsid w:val="00A75CD4"/>
    <w:rsid w:val="00A81FC1"/>
    <w:rsid w:val="00A91653"/>
    <w:rsid w:val="00A92FDD"/>
    <w:rsid w:val="00A94325"/>
    <w:rsid w:val="00A95B5F"/>
    <w:rsid w:val="00AA1689"/>
    <w:rsid w:val="00AA1871"/>
    <w:rsid w:val="00AA21DC"/>
    <w:rsid w:val="00AB0BEB"/>
    <w:rsid w:val="00AB0EE1"/>
    <w:rsid w:val="00AB2D6A"/>
    <w:rsid w:val="00AB40D2"/>
    <w:rsid w:val="00AC107B"/>
    <w:rsid w:val="00AC13E0"/>
    <w:rsid w:val="00AD49B7"/>
    <w:rsid w:val="00AD4B21"/>
    <w:rsid w:val="00AD683F"/>
    <w:rsid w:val="00AE01D5"/>
    <w:rsid w:val="00AE04D4"/>
    <w:rsid w:val="00AE217B"/>
    <w:rsid w:val="00AE3CCE"/>
    <w:rsid w:val="00AE4144"/>
    <w:rsid w:val="00AE65FA"/>
    <w:rsid w:val="00AE7990"/>
    <w:rsid w:val="00AE7F9A"/>
    <w:rsid w:val="00AF05FE"/>
    <w:rsid w:val="00AF109E"/>
    <w:rsid w:val="00AF3138"/>
    <w:rsid w:val="00AF7B8A"/>
    <w:rsid w:val="00B00414"/>
    <w:rsid w:val="00B0067F"/>
    <w:rsid w:val="00B067B5"/>
    <w:rsid w:val="00B1014C"/>
    <w:rsid w:val="00B10610"/>
    <w:rsid w:val="00B106AB"/>
    <w:rsid w:val="00B145D6"/>
    <w:rsid w:val="00B14ED7"/>
    <w:rsid w:val="00B157F0"/>
    <w:rsid w:val="00B20517"/>
    <w:rsid w:val="00B220A8"/>
    <w:rsid w:val="00B22A23"/>
    <w:rsid w:val="00B25352"/>
    <w:rsid w:val="00B2587F"/>
    <w:rsid w:val="00B26C5D"/>
    <w:rsid w:val="00B33B39"/>
    <w:rsid w:val="00B343A8"/>
    <w:rsid w:val="00B35A1D"/>
    <w:rsid w:val="00B36CFB"/>
    <w:rsid w:val="00B40DC4"/>
    <w:rsid w:val="00B451FE"/>
    <w:rsid w:val="00B51A93"/>
    <w:rsid w:val="00B53033"/>
    <w:rsid w:val="00B539C5"/>
    <w:rsid w:val="00B55B25"/>
    <w:rsid w:val="00B56A0E"/>
    <w:rsid w:val="00B675C5"/>
    <w:rsid w:val="00B67D57"/>
    <w:rsid w:val="00B67E3E"/>
    <w:rsid w:val="00B70BDB"/>
    <w:rsid w:val="00B764D6"/>
    <w:rsid w:val="00B7779A"/>
    <w:rsid w:val="00B77D76"/>
    <w:rsid w:val="00B86636"/>
    <w:rsid w:val="00B9212C"/>
    <w:rsid w:val="00B92524"/>
    <w:rsid w:val="00B93F65"/>
    <w:rsid w:val="00B95319"/>
    <w:rsid w:val="00B958CA"/>
    <w:rsid w:val="00B96AE1"/>
    <w:rsid w:val="00BA10E3"/>
    <w:rsid w:val="00BA3A42"/>
    <w:rsid w:val="00BA5343"/>
    <w:rsid w:val="00BB11F9"/>
    <w:rsid w:val="00BB31E7"/>
    <w:rsid w:val="00BB32E8"/>
    <w:rsid w:val="00BB3654"/>
    <w:rsid w:val="00BB388B"/>
    <w:rsid w:val="00BB4533"/>
    <w:rsid w:val="00BB6BEE"/>
    <w:rsid w:val="00BB700E"/>
    <w:rsid w:val="00BB7AB6"/>
    <w:rsid w:val="00BC0DD3"/>
    <w:rsid w:val="00BC3C6F"/>
    <w:rsid w:val="00BC3E42"/>
    <w:rsid w:val="00BC4B09"/>
    <w:rsid w:val="00BC7150"/>
    <w:rsid w:val="00BD12DC"/>
    <w:rsid w:val="00BD2EE8"/>
    <w:rsid w:val="00BD320C"/>
    <w:rsid w:val="00BD47AD"/>
    <w:rsid w:val="00BD5EEB"/>
    <w:rsid w:val="00BD61F6"/>
    <w:rsid w:val="00BD639F"/>
    <w:rsid w:val="00BD66EA"/>
    <w:rsid w:val="00BD7F05"/>
    <w:rsid w:val="00BE1DEB"/>
    <w:rsid w:val="00BE4CCD"/>
    <w:rsid w:val="00BE7765"/>
    <w:rsid w:val="00BF3364"/>
    <w:rsid w:val="00BF33A5"/>
    <w:rsid w:val="00BF4A58"/>
    <w:rsid w:val="00BF5576"/>
    <w:rsid w:val="00BF5E32"/>
    <w:rsid w:val="00BF6501"/>
    <w:rsid w:val="00C0204C"/>
    <w:rsid w:val="00C029B6"/>
    <w:rsid w:val="00C02AE4"/>
    <w:rsid w:val="00C054F0"/>
    <w:rsid w:val="00C0674E"/>
    <w:rsid w:val="00C11CE1"/>
    <w:rsid w:val="00C14C8F"/>
    <w:rsid w:val="00C15AE6"/>
    <w:rsid w:val="00C15D17"/>
    <w:rsid w:val="00C1658A"/>
    <w:rsid w:val="00C16C04"/>
    <w:rsid w:val="00C2285D"/>
    <w:rsid w:val="00C30183"/>
    <w:rsid w:val="00C338FF"/>
    <w:rsid w:val="00C3450B"/>
    <w:rsid w:val="00C407B5"/>
    <w:rsid w:val="00C43E98"/>
    <w:rsid w:val="00C46666"/>
    <w:rsid w:val="00C4773E"/>
    <w:rsid w:val="00C5008F"/>
    <w:rsid w:val="00C50E9A"/>
    <w:rsid w:val="00C51282"/>
    <w:rsid w:val="00C52E59"/>
    <w:rsid w:val="00C548D5"/>
    <w:rsid w:val="00C55BF8"/>
    <w:rsid w:val="00C57FE9"/>
    <w:rsid w:val="00C63A48"/>
    <w:rsid w:val="00C63F81"/>
    <w:rsid w:val="00C666F1"/>
    <w:rsid w:val="00C701FB"/>
    <w:rsid w:val="00C70E59"/>
    <w:rsid w:val="00C72181"/>
    <w:rsid w:val="00C728C9"/>
    <w:rsid w:val="00C75647"/>
    <w:rsid w:val="00C76931"/>
    <w:rsid w:val="00C806BF"/>
    <w:rsid w:val="00C8264D"/>
    <w:rsid w:val="00C831D9"/>
    <w:rsid w:val="00C8349A"/>
    <w:rsid w:val="00C8565F"/>
    <w:rsid w:val="00C90C71"/>
    <w:rsid w:val="00C9132A"/>
    <w:rsid w:val="00C9255B"/>
    <w:rsid w:val="00CA0825"/>
    <w:rsid w:val="00CA1AA3"/>
    <w:rsid w:val="00CA1D71"/>
    <w:rsid w:val="00CA1F57"/>
    <w:rsid w:val="00CA6DAA"/>
    <w:rsid w:val="00CB00BD"/>
    <w:rsid w:val="00CB2F38"/>
    <w:rsid w:val="00CB3B20"/>
    <w:rsid w:val="00CB6DB8"/>
    <w:rsid w:val="00CC10C5"/>
    <w:rsid w:val="00CD1FBB"/>
    <w:rsid w:val="00CD2035"/>
    <w:rsid w:val="00CD7E6E"/>
    <w:rsid w:val="00CE31C7"/>
    <w:rsid w:val="00CE5D5F"/>
    <w:rsid w:val="00CF2C9A"/>
    <w:rsid w:val="00CF6447"/>
    <w:rsid w:val="00CF713C"/>
    <w:rsid w:val="00CF72A0"/>
    <w:rsid w:val="00CF7CEA"/>
    <w:rsid w:val="00D005CE"/>
    <w:rsid w:val="00D01C0D"/>
    <w:rsid w:val="00D057D6"/>
    <w:rsid w:val="00D11FE4"/>
    <w:rsid w:val="00D12799"/>
    <w:rsid w:val="00D12E3E"/>
    <w:rsid w:val="00D13C5C"/>
    <w:rsid w:val="00D14ED6"/>
    <w:rsid w:val="00D21BA4"/>
    <w:rsid w:val="00D21CF0"/>
    <w:rsid w:val="00D32864"/>
    <w:rsid w:val="00D33FF0"/>
    <w:rsid w:val="00D34F46"/>
    <w:rsid w:val="00D41D57"/>
    <w:rsid w:val="00D42BE9"/>
    <w:rsid w:val="00D452A7"/>
    <w:rsid w:val="00D46306"/>
    <w:rsid w:val="00D53EBB"/>
    <w:rsid w:val="00D5419A"/>
    <w:rsid w:val="00D656B3"/>
    <w:rsid w:val="00D67588"/>
    <w:rsid w:val="00D7151E"/>
    <w:rsid w:val="00D81924"/>
    <w:rsid w:val="00D828B0"/>
    <w:rsid w:val="00D84037"/>
    <w:rsid w:val="00D846A9"/>
    <w:rsid w:val="00D8549E"/>
    <w:rsid w:val="00D8797B"/>
    <w:rsid w:val="00D920F9"/>
    <w:rsid w:val="00D93EFC"/>
    <w:rsid w:val="00D9549A"/>
    <w:rsid w:val="00DA13B0"/>
    <w:rsid w:val="00DA351A"/>
    <w:rsid w:val="00DB02FA"/>
    <w:rsid w:val="00DB710F"/>
    <w:rsid w:val="00DB7244"/>
    <w:rsid w:val="00DC0C60"/>
    <w:rsid w:val="00DC0D32"/>
    <w:rsid w:val="00DC6A99"/>
    <w:rsid w:val="00DD37D3"/>
    <w:rsid w:val="00DE4B5F"/>
    <w:rsid w:val="00DE5FA4"/>
    <w:rsid w:val="00DF7450"/>
    <w:rsid w:val="00E0243B"/>
    <w:rsid w:val="00E034F5"/>
    <w:rsid w:val="00E1514D"/>
    <w:rsid w:val="00E1798B"/>
    <w:rsid w:val="00E2113A"/>
    <w:rsid w:val="00E23536"/>
    <w:rsid w:val="00E24D30"/>
    <w:rsid w:val="00E26CFB"/>
    <w:rsid w:val="00E33FC0"/>
    <w:rsid w:val="00E34F22"/>
    <w:rsid w:val="00E43D37"/>
    <w:rsid w:val="00E5111B"/>
    <w:rsid w:val="00E51F68"/>
    <w:rsid w:val="00E552D7"/>
    <w:rsid w:val="00E555F7"/>
    <w:rsid w:val="00E570EE"/>
    <w:rsid w:val="00E615C4"/>
    <w:rsid w:val="00E6663B"/>
    <w:rsid w:val="00E708CF"/>
    <w:rsid w:val="00E70F96"/>
    <w:rsid w:val="00E73A23"/>
    <w:rsid w:val="00E76681"/>
    <w:rsid w:val="00E81D38"/>
    <w:rsid w:val="00E8605A"/>
    <w:rsid w:val="00E86D08"/>
    <w:rsid w:val="00E86D0E"/>
    <w:rsid w:val="00E90359"/>
    <w:rsid w:val="00E927F7"/>
    <w:rsid w:val="00E930AE"/>
    <w:rsid w:val="00E931E7"/>
    <w:rsid w:val="00E956E5"/>
    <w:rsid w:val="00EA0C65"/>
    <w:rsid w:val="00EA1D74"/>
    <w:rsid w:val="00EB52A5"/>
    <w:rsid w:val="00EC2802"/>
    <w:rsid w:val="00EC66D2"/>
    <w:rsid w:val="00EC7C33"/>
    <w:rsid w:val="00ED1C06"/>
    <w:rsid w:val="00ED4169"/>
    <w:rsid w:val="00EE09F5"/>
    <w:rsid w:val="00EE1239"/>
    <w:rsid w:val="00EE3C87"/>
    <w:rsid w:val="00EF4B69"/>
    <w:rsid w:val="00F02A52"/>
    <w:rsid w:val="00F0304D"/>
    <w:rsid w:val="00F05A86"/>
    <w:rsid w:val="00F074B3"/>
    <w:rsid w:val="00F1186B"/>
    <w:rsid w:val="00F126EB"/>
    <w:rsid w:val="00F17FA8"/>
    <w:rsid w:val="00F20C8C"/>
    <w:rsid w:val="00F21EDC"/>
    <w:rsid w:val="00F23D6B"/>
    <w:rsid w:val="00F24EA4"/>
    <w:rsid w:val="00F26EA2"/>
    <w:rsid w:val="00F27607"/>
    <w:rsid w:val="00F30DE1"/>
    <w:rsid w:val="00F319EB"/>
    <w:rsid w:val="00F319F3"/>
    <w:rsid w:val="00F31B0C"/>
    <w:rsid w:val="00F32121"/>
    <w:rsid w:val="00F33F9A"/>
    <w:rsid w:val="00F34EBC"/>
    <w:rsid w:val="00F35028"/>
    <w:rsid w:val="00F3621C"/>
    <w:rsid w:val="00F423A0"/>
    <w:rsid w:val="00F42831"/>
    <w:rsid w:val="00F46538"/>
    <w:rsid w:val="00F50C02"/>
    <w:rsid w:val="00F54D57"/>
    <w:rsid w:val="00F56A0E"/>
    <w:rsid w:val="00F57BD0"/>
    <w:rsid w:val="00F61F83"/>
    <w:rsid w:val="00F6519C"/>
    <w:rsid w:val="00F65833"/>
    <w:rsid w:val="00F65C2A"/>
    <w:rsid w:val="00F71703"/>
    <w:rsid w:val="00F73867"/>
    <w:rsid w:val="00F761EC"/>
    <w:rsid w:val="00F775D9"/>
    <w:rsid w:val="00F77FFD"/>
    <w:rsid w:val="00F80187"/>
    <w:rsid w:val="00F81CE0"/>
    <w:rsid w:val="00F837B0"/>
    <w:rsid w:val="00F86191"/>
    <w:rsid w:val="00F86847"/>
    <w:rsid w:val="00F87ECE"/>
    <w:rsid w:val="00F87F12"/>
    <w:rsid w:val="00F91263"/>
    <w:rsid w:val="00F92265"/>
    <w:rsid w:val="00F95633"/>
    <w:rsid w:val="00F970AF"/>
    <w:rsid w:val="00FA08C3"/>
    <w:rsid w:val="00FA1D1C"/>
    <w:rsid w:val="00FA4530"/>
    <w:rsid w:val="00FA531A"/>
    <w:rsid w:val="00FB0056"/>
    <w:rsid w:val="00FB6ED4"/>
    <w:rsid w:val="00FC09AB"/>
    <w:rsid w:val="00FC4CE1"/>
    <w:rsid w:val="00FD0016"/>
    <w:rsid w:val="00FD257C"/>
    <w:rsid w:val="00FD27D0"/>
    <w:rsid w:val="00FE6A20"/>
    <w:rsid w:val="00FE775B"/>
    <w:rsid w:val="00FF2E26"/>
    <w:rsid w:val="00FF482D"/>
    <w:rsid w:val="00FF58D8"/>
  </w:rsids>
  <m:mathPr>
    <m:mathFont m:val="Cambria Math"/>
    <m:brkBin m:val="before"/>
    <m:brkBinSub m:val="--"/>
    <m:smallFrac/>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238A8B"/>
  <w15:docId w15:val="{05CC999D-9225-4777-8113-505EC74E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67E3E"/>
    <w:pPr>
      <w:spacing w:before="100" w:beforeAutospacing="1" w:after="100" w:afterAutospacing="1"/>
      <w:outlineLvl w:val="0"/>
    </w:pPr>
    <w:rPr>
      <w:rFonts w:ascii="Times New Roman" w:eastAsia="Times New Roman" w:hAnsi="Times New Roman" w:cs="Times New Roman"/>
      <w:b/>
      <w:bCs/>
      <w:kern w:val="36"/>
      <w:sz w:val="48"/>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8A6"/>
    <w:rPr>
      <w:rFonts w:ascii="Lucida Grande" w:hAnsi="Lucida Grande" w:cs="Lucida Grande"/>
      <w:sz w:val="18"/>
      <w:szCs w:val="18"/>
    </w:rPr>
  </w:style>
  <w:style w:type="character" w:customStyle="1" w:styleId="BalloonTextChar">
    <w:name w:val="Balloon Text Char"/>
    <w:basedOn w:val="a0"/>
    <w:uiPriority w:val="99"/>
    <w:semiHidden/>
    <w:rsid w:val="006448E4"/>
    <w:rPr>
      <w:rFonts w:ascii="Lucida Grande" w:hAnsi="Lucida Grande"/>
      <w:sz w:val="18"/>
      <w:szCs w:val="18"/>
    </w:rPr>
  </w:style>
  <w:style w:type="paragraph" w:styleId="a5">
    <w:name w:val="List Paragraph"/>
    <w:basedOn w:val="a"/>
    <w:uiPriority w:val="34"/>
    <w:qFormat/>
    <w:rsid w:val="00F21EDC"/>
    <w:pPr>
      <w:ind w:left="720"/>
      <w:contextualSpacing/>
    </w:pPr>
  </w:style>
  <w:style w:type="paragraph" w:customStyle="1" w:styleId="EndNoteBibliographyTitle">
    <w:name w:val="EndNote Bibliography Title"/>
    <w:basedOn w:val="a"/>
    <w:rsid w:val="0048744F"/>
    <w:pPr>
      <w:jc w:val="center"/>
    </w:pPr>
    <w:rPr>
      <w:rFonts w:ascii="Cambria" w:hAnsi="Cambria"/>
    </w:rPr>
  </w:style>
  <w:style w:type="paragraph" w:customStyle="1" w:styleId="EndNoteBibliography">
    <w:name w:val="EndNote Bibliography"/>
    <w:basedOn w:val="a"/>
    <w:rsid w:val="0048744F"/>
    <w:rPr>
      <w:rFonts w:ascii="Cambria" w:hAnsi="Cambria"/>
    </w:rPr>
  </w:style>
  <w:style w:type="character" w:customStyle="1" w:styleId="apple-converted-space">
    <w:name w:val="apple-converted-space"/>
    <w:basedOn w:val="a0"/>
    <w:rsid w:val="002A007D"/>
  </w:style>
  <w:style w:type="character" w:customStyle="1" w:styleId="a4">
    <w:name w:val="批注框文本 字符"/>
    <w:basedOn w:val="a0"/>
    <w:link w:val="a3"/>
    <w:uiPriority w:val="99"/>
    <w:semiHidden/>
    <w:rsid w:val="006718A6"/>
    <w:rPr>
      <w:rFonts w:ascii="Lucida Grande" w:hAnsi="Lucida Grande" w:cs="Lucida Grande"/>
      <w:sz w:val="18"/>
      <w:szCs w:val="18"/>
    </w:rPr>
  </w:style>
  <w:style w:type="paragraph" w:styleId="a6">
    <w:name w:val="footer"/>
    <w:basedOn w:val="a"/>
    <w:link w:val="a7"/>
    <w:uiPriority w:val="99"/>
    <w:unhideWhenUsed/>
    <w:rsid w:val="00D42BE9"/>
    <w:pPr>
      <w:tabs>
        <w:tab w:val="center" w:pos="4320"/>
        <w:tab w:val="right" w:pos="8640"/>
      </w:tabs>
    </w:pPr>
  </w:style>
  <w:style w:type="character" w:customStyle="1" w:styleId="a7">
    <w:name w:val="页脚 字符"/>
    <w:basedOn w:val="a0"/>
    <w:link w:val="a6"/>
    <w:uiPriority w:val="99"/>
    <w:rsid w:val="00D42BE9"/>
  </w:style>
  <w:style w:type="character" w:styleId="a8">
    <w:name w:val="page number"/>
    <w:basedOn w:val="a0"/>
    <w:uiPriority w:val="99"/>
    <w:semiHidden/>
    <w:unhideWhenUsed/>
    <w:rsid w:val="00D42BE9"/>
  </w:style>
  <w:style w:type="paragraph" w:styleId="a9">
    <w:name w:val="Normal (Web)"/>
    <w:basedOn w:val="a"/>
    <w:uiPriority w:val="99"/>
    <w:semiHidden/>
    <w:unhideWhenUsed/>
    <w:rsid w:val="003B1FC5"/>
    <w:pPr>
      <w:spacing w:before="100" w:beforeAutospacing="1" w:after="100" w:afterAutospacing="1"/>
    </w:pPr>
    <w:rPr>
      <w:rFonts w:ascii="Times" w:hAnsi="Times" w:cs="Times New Roman"/>
      <w:sz w:val="20"/>
      <w:szCs w:val="20"/>
    </w:rPr>
  </w:style>
  <w:style w:type="table" w:styleId="aa">
    <w:name w:val="Table Grid"/>
    <w:basedOn w:val="a1"/>
    <w:uiPriority w:val="59"/>
    <w:rsid w:val="00F77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7441A0"/>
    <w:rPr>
      <w:color w:val="0000FF" w:themeColor="hyperlink"/>
      <w:u w:val="single"/>
    </w:rPr>
  </w:style>
  <w:style w:type="character" w:styleId="ac">
    <w:name w:val="FollowedHyperlink"/>
    <w:basedOn w:val="a0"/>
    <w:uiPriority w:val="99"/>
    <w:semiHidden/>
    <w:unhideWhenUsed/>
    <w:rsid w:val="00096CEC"/>
    <w:rPr>
      <w:color w:val="800080" w:themeColor="followedHyperlink"/>
      <w:u w:val="single"/>
    </w:rPr>
  </w:style>
  <w:style w:type="paragraph" w:styleId="ad">
    <w:name w:val="header"/>
    <w:basedOn w:val="a"/>
    <w:link w:val="ae"/>
    <w:uiPriority w:val="99"/>
    <w:unhideWhenUsed/>
    <w:rsid w:val="00260D86"/>
    <w:pPr>
      <w:tabs>
        <w:tab w:val="center" w:pos="4680"/>
        <w:tab w:val="right" w:pos="9360"/>
      </w:tabs>
    </w:pPr>
  </w:style>
  <w:style w:type="character" w:customStyle="1" w:styleId="ae">
    <w:name w:val="页眉 字符"/>
    <w:basedOn w:val="a0"/>
    <w:link w:val="ad"/>
    <w:uiPriority w:val="99"/>
    <w:rsid w:val="00260D86"/>
  </w:style>
  <w:style w:type="character" w:styleId="af">
    <w:name w:val="annotation reference"/>
    <w:basedOn w:val="a0"/>
    <w:uiPriority w:val="99"/>
    <w:semiHidden/>
    <w:unhideWhenUsed/>
    <w:rsid w:val="00CE5D5F"/>
    <w:rPr>
      <w:sz w:val="18"/>
      <w:szCs w:val="18"/>
    </w:rPr>
  </w:style>
  <w:style w:type="paragraph" w:styleId="af0">
    <w:name w:val="annotation text"/>
    <w:basedOn w:val="a"/>
    <w:link w:val="af1"/>
    <w:uiPriority w:val="99"/>
    <w:unhideWhenUsed/>
    <w:rsid w:val="00CE5D5F"/>
  </w:style>
  <w:style w:type="character" w:customStyle="1" w:styleId="af1">
    <w:name w:val="批注文字 字符"/>
    <w:basedOn w:val="a0"/>
    <w:link w:val="af0"/>
    <w:uiPriority w:val="99"/>
    <w:rsid w:val="00CE5D5F"/>
  </w:style>
  <w:style w:type="paragraph" w:styleId="af2">
    <w:name w:val="annotation subject"/>
    <w:basedOn w:val="af0"/>
    <w:next w:val="af0"/>
    <w:link w:val="af3"/>
    <w:uiPriority w:val="99"/>
    <w:semiHidden/>
    <w:unhideWhenUsed/>
    <w:rsid w:val="00CE5D5F"/>
    <w:rPr>
      <w:b/>
      <w:bCs/>
      <w:sz w:val="20"/>
      <w:szCs w:val="20"/>
    </w:rPr>
  </w:style>
  <w:style w:type="character" w:customStyle="1" w:styleId="af3">
    <w:name w:val="批注主题 字符"/>
    <w:basedOn w:val="af1"/>
    <w:link w:val="af2"/>
    <w:uiPriority w:val="99"/>
    <w:semiHidden/>
    <w:rsid w:val="00CE5D5F"/>
    <w:rPr>
      <w:b/>
      <w:bCs/>
      <w:sz w:val="20"/>
      <w:szCs w:val="20"/>
    </w:rPr>
  </w:style>
  <w:style w:type="paragraph" w:styleId="af4">
    <w:name w:val="Revision"/>
    <w:hidden/>
    <w:uiPriority w:val="99"/>
    <w:semiHidden/>
    <w:rsid w:val="00B92524"/>
  </w:style>
  <w:style w:type="character" w:customStyle="1" w:styleId="current-selection">
    <w:name w:val="current-selection"/>
    <w:basedOn w:val="a0"/>
    <w:rsid w:val="000A1CA0"/>
  </w:style>
  <w:style w:type="character" w:customStyle="1" w:styleId="af5">
    <w:name w:val="_"/>
    <w:basedOn w:val="a0"/>
    <w:rsid w:val="000A1CA0"/>
  </w:style>
  <w:style w:type="paragraph" w:styleId="HTML">
    <w:name w:val="HTML Address"/>
    <w:basedOn w:val="a"/>
    <w:link w:val="HTML0"/>
    <w:uiPriority w:val="99"/>
    <w:semiHidden/>
    <w:unhideWhenUsed/>
    <w:rsid w:val="004D00D5"/>
    <w:rPr>
      <w:rFonts w:ascii="Times" w:hAnsi="Times"/>
      <w:i/>
      <w:iCs/>
      <w:sz w:val="20"/>
      <w:szCs w:val="20"/>
      <w:lang w:eastAsia="en-US"/>
    </w:rPr>
  </w:style>
  <w:style w:type="character" w:customStyle="1" w:styleId="HTML0">
    <w:name w:val="HTML 地址 字符"/>
    <w:basedOn w:val="a0"/>
    <w:link w:val="HTML"/>
    <w:uiPriority w:val="99"/>
    <w:semiHidden/>
    <w:rsid w:val="004D00D5"/>
    <w:rPr>
      <w:rFonts w:ascii="Times" w:hAnsi="Times"/>
      <w:i/>
      <w:iCs/>
      <w:sz w:val="20"/>
      <w:szCs w:val="20"/>
      <w:lang w:eastAsia="en-US"/>
    </w:rPr>
  </w:style>
  <w:style w:type="character" w:customStyle="1" w:styleId="addr-line">
    <w:name w:val="addr-line"/>
    <w:basedOn w:val="a0"/>
    <w:rsid w:val="004D00D5"/>
  </w:style>
  <w:style w:type="character" w:customStyle="1" w:styleId="institution">
    <w:name w:val="institution"/>
    <w:basedOn w:val="a0"/>
    <w:rsid w:val="004D00D5"/>
  </w:style>
  <w:style w:type="character" w:customStyle="1" w:styleId="affiliationdepartment">
    <w:name w:val="affiliation__department"/>
    <w:basedOn w:val="a0"/>
    <w:rsid w:val="00D46306"/>
  </w:style>
  <w:style w:type="character" w:customStyle="1" w:styleId="affiliationname">
    <w:name w:val="affiliation__name"/>
    <w:basedOn w:val="a0"/>
    <w:rsid w:val="00D46306"/>
  </w:style>
  <w:style w:type="character" w:customStyle="1" w:styleId="affiliationcity">
    <w:name w:val="affiliation__city"/>
    <w:basedOn w:val="a0"/>
    <w:rsid w:val="00D46306"/>
  </w:style>
  <w:style w:type="character" w:customStyle="1" w:styleId="affiliationcountry">
    <w:name w:val="affiliation__country"/>
    <w:basedOn w:val="a0"/>
    <w:rsid w:val="00D46306"/>
  </w:style>
  <w:style w:type="character" w:customStyle="1" w:styleId="pel">
    <w:name w:val="_pe_l"/>
    <w:basedOn w:val="a0"/>
    <w:rsid w:val="00CD2035"/>
  </w:style>
  <w:style w:type="character" w:customStyle="1" w:styleId="li-content">
    <w:name w:val="li-content"/>
    <w:basedOn w:val="a0"/>
    <w:rsid w:val="00BD12DC"/>
  </w:style>
  <w:style w:type="paragraph" w:styleId="af6">
    <w:name w:val="endnote text"/>
    <w:basedOn w:val="a"/>
    <w:link w:val="af7"/>
    <w:uiPriority w:val="99"/>
    <w:semiHidden/>
    <w:unhideWhenUsed/>
    <w:rsid w:val="00A94325"/>
    <w:rPr>
      <w:sz w:val="20"/>
      <w:szCs w:val="20"/>
    </w:rPr>
  </w:style>
  <w:style w:type="character" w:customStyle="1" w:styleId="af7">
    <w:name w:val="尾注文本 字符"/>
    <w:basedOn w:val="a0"/>
    <w:link w:val="af6"/>
    <w:uiPriority w:val="99"/>
    <w:semiHidden/>
    <w:rsid w:val="00A94325"/>
    <w:rPr>
      <w:sz w:val="20"/>
      <w:szCs w:val="20"/>
    </w:rPr>
  </w:style>
  <w:style w:type="character" w:styleId="af8">
    <w:name w:val="endnote reference"/>
    <w:basedOn w:val="a0"/>
    <w:uiPriority w:val="99"/>
    <w:unhideWhenUsed/>
    <w:rsid w:val="00A94325"/>
    <w:rPr>
      <w:vertAlign w:val="superscript"/>
    </w:rPr>
  </w:style>
  <w:style w:type="character" w:customStyle="1" w:styleId="10">
    <w:name w:val="标题 1 字符"/>
    <w:basedOn w:val="a0"/>
    <w:link w:val="1"/>
    <w:uiPriority w:val="9"/>
    <w:rsid w:val="00B67E3E"/>
    <w:rPr>
      <w:rFonts w:ascii="Times New Roman" w:eastAsia="Times New Roman" w:hAnsi="Times New Roman" w:cs="Times New Roman"/>
      <w:b/>
      <w:bCs/>
      <w:kern w:val="36"/>
      <w:sz w:val="48"/>
      <w:szCs w:val="48"/>
      <w:lang w:eastAsia="en-US"/>
    </w:rPr>
  </w:style>
  <w:style w:type="character" w:customStyle="1" w:styleId="highlight">
    <w:name w:val="highlight"/>
    <w:basedOn w:val="a0"/>
    <w:rsid w:val="00B67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9631">
      <w:bodyDiv w:val="1"/>
      <w:marLeft w:val="0"/>
      <w:marRight w:val="0"/>
      <w:marTop w:val="0"/>
      <w:marBottom w:val="0"/>
      <w:divBdr>
        <w:top w:val="none" w:sz="0" w:space="0" w:color="auto"/>
        <w:left w:val="none" w:sz="0" w:space="0" w:color="auto"/>
        <w:bottom w:val="none" w:sz="0" w:space="0" w:color="auto"/>
        <w:right w:val="none" w:sz="0" w:space="0" w:color="auto"/>
      </w:divBdr>
    </w:div>
    <w:div w:id="64377643">
      <w:bodyDiv w:val="1"/>
      <w:marLeft w:val="0"/>
      <w:marRight w:val="0"/>
      <w:marTop w:val="0"/>
      <w:marBottom w:val="0"/>
      <w:divBdr>
        <w:top w:val="none" w:sz="0" w:space="0" w:color="auto"/>
        <w:left w:val="none" w:sz="0" w:space="0" w:color="auto"/>
        <w:bottom w:val="none" w:sz="0" w:space="0" w:color="auto"/>
        <w:right w:val="none" w:sz="0" w:space="0" w:color="auto"/>
      </w:divBdr>
    </w:div>
    <w:div w:id="86460958">
      <w:bodyDiv w:val="1"/>
      <w:marLeft w:val="0"/>
      <w:marRight w:val="0"/>
      <w:marTop w:val="0"/>
      <w:marBottom w:val="0"/>
      <w:divBdr>
        <w:top w:val="none" w:sz="0" w:space="0" w:color="auto"/>
        <w:left w:val="none" w:sz="0" w:space="0" w:color="auto"/>
        <w:bottom w:val="none" w:sz="0" w:space="0" w:color="auto"/>
        <w:right w:val="none" w:sz="0" w:space="0" w:color="auto"/>
      </w:divBdr>
    </w:div>
    <w:div w:id="94593398">
      <w:bodyDiv w:val="1"/>
      <w:marLeft w:val="0"/>
      <w:marRight w:val="0"/>
      <w:marTop w:val="0"/>
      <w:marBottom w:val="0"/>
      <w:divBdr>
        <w:top w:val="none" w:sz="0" w:space="0" w:color="auto"/>
        <w:left w:val="none" w:sz="0" w:space="0" w:color="auto"/>
        <w:bottom w:val="none" w:sz="0" w:space="0" w:color="auto"/>
        <w:right w:val="none" w:sz="0" w:space="0" w:color="auto"/>
      </w:divBdr>
    </w:div>
    <w:div w:id="106196459">
      <w:bodyDiv w:val="1"/>
      <w:marLeft w:val="0"/>
      <w:marRight w:val="0"/>
      <w:marTop w:val="0"/>
      <w:marBottom w:val="0"/>
      <w:divBdr>
        <w:top w:val="none" w:sz="0" w:space="0" w:color="auto"/>
        <w:left w:val="none" w:sz="0" w:space="0" w:color="auto"/>
        <w:bottom w:val="none" w:sz="0" w:space="0" w:color="auto"/>
        <w:right w:val="none" w:sz="0" w:space="0" w:color="auto"/>
      </w:divBdr>
    </w:div>
    <w:div w:id="174610385">
      <w:bodyDiv w:val="1"/>
      <w:marLeft w:val="0"/>
      <w:marRight w:val="0"/>
      <w:marTop w:val="0"/>
      <w:marBottom w:val="0"/>
      <w:divBdr>
        <w:top w:val="none" w:sz="0" w:space="0" w:color="auto"/>
        <w:left w:val="none" w:sz="0" w:space="0" w:color="auto"/>
        <w:bottom w:val="none" w:sz="0" w:space="0" w:color="auto"/>
        <w:right w:val="none" w:sz="0" w:space="0" w:color="auto"/>
      </w:divBdr>
    </w:div>
    <w:div w:id="283002858">
      <w:bodyDiv w:val="1"/>
      <w:marLeft w:val="0"/>
      <w:marRight w:val="0"/>
      <w:marTop w:val="0"/>
      <w:marBottom w:val="0"/>
      <w:divBdr>
        <w:top w:val="none" w:sz="0" w:space="0" w:color="auto"/>
        <w:left w:val="none" w:sz="0" w:space="0" w:color="auto"/>
        <w:bottom w:val="none" w:sz="0" w:space="0" w:color="auto"/>
        <w:right w:val="none" w:sz="0" w:space="0" w:color="auto"/>
      </w:divBdr>
    </w:div>
    <w:div w:id="294414540">
      <w:bodyDiv w:val="1"/>
      <w:marLeft w:val="0"/>
      <w:marRight w:val="0"/>
      <w:marTop w:val="0"/>
      <w:marBottom w:val="0"/>
      <w:divBdr>
        <w:top w:val="none" w:sz="0" w:space="0" w:color="auto"/>
        <w:left w:val="none" w:sz="0" w:space="0" w:color="auto"/>
        <w:bottom w:val="none" w:sz="0" w:space="0" w:color="auto"/>
        <w:right w:val="none" w:sz="0" w:space="0" w:color="auto"/>
      </w:divBdr>
    </w:div>
    <w:div w:id="330720811">
      <w:bodyDiv w:val="1"/>
      <w:marLeft w:val="0"/>
      <w:marRight w:val="0"/>
      <w:marTop w:val="0"/>
      <w:marBottom w:val="0"/>
      <w:divBdr>
        <w:top w:val="none" w:sz="0" w:space="0" w:color="auto"/>
        <w:left w:val="none" w:sz="0" w:space="0" w:color="auto"/>
        <w:bottom w:val="none" w:sz="0" w:space="0" w:color="auto"/>
        <w:right w:val="none" w:sz="0" w:space="0" w:color="auto"/>
      </w:divBdr>
      <w:divsChild>
        <w:div w:id="744373873">
          <w:marLeft w:val="0"/>
          <w:marRight w:val="0"/>
          <w:marTop w:val="0"/>
          <w:marBottom w:val="0"/>
          <w:divBdr>
            <w:top w:val="none" w:sz="0" w:space="0" w:color="auto"/>
            <w:left w:val="none" w:sz="0" w:space="0" w:color="auto"/>
            <w:bottom w:val="none" w:sz="0" w:space="0" w:color="auto"/>
            <w:right w:val="none" w:sz="0" w:space="0" w:color="auto"/>
          </w:divBdr>
          <w:divsChild>
            <w:div w:id="79089779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395594309">
      <w:bodyDiv w:val="1"/>
      <w:marLeft w:val="0"/>
      <w:marRight w:val="0"/>
      <w:marTop w:val="0"/>
      <w:marBottom w:val="0"/>
      <w:divBdr>
        <w:top w:val="none" w:sz="0" w:space="0" w:color="auto"/>
        <w:left w:val="none" w:sz="0" w:space="0" w:color="auto"/>
        <w:bottom w:val="none" w:sz="0" w:space="0" w:color="auto"/>
        <w:right w:val="none" w:sz="0" w:space="0" w:color="auto"/>
      </w:divBdr>
    </w:div>
    <w:div w:id="480538918">
      <w:bodyDiv w:val="1"/>
      <w:marLeft w:val="0"/>
      <w:marRight w:val="0"/>
      <w:marTop w:val="0"/>
      <w:marBottom w:val="0"/>
      <w:divBdr>
        <w:top w:val="none" w:sz="0" w:space="0" w:color="auto"/>
        <w:left w:val="none" w:sz="0" w:space="0" w:color="auto"/>
        <w:bottom w:val="none" w:sz="0" w:space="0" w:color="auto"/>
        <w:right w:val="none" w:sz="0" w:space="0" w:color="auto"/>
      </w:divBdr>
    </w:div>
    <w:div w:id="718553070">
      <w:bodyDiv w:val="1"/>
      <w:marLeft w:val="0"/>
      <w:marRight w:val="0"/>
      <w:marTop w:val="0"/>
      <w:marBottom w:val="0"/>
      <w:divBdr>
        <w:top w:val="none" w:sz="0" w:space="0" w:color="auto"/>
        <w:left w:val="none" w:sz="0" w:space="0" w:color="auto"/>
        <w:bottom w:val="none" w:sz="0" w:space="0" w:color="auto"/>
        <w:right w:val="none" w:sz="0" w:space="0" w:color="auto"/>
      </w:divBdr>
      <w:divsChild>
        <w:div w:id="679355594">
          <w:marLeft w:val="0"/>
          <w:marRight w:val="0"/>
          <w:marTop w:val="0"/>
          <w:marBottom w:val="0"/>
          <w:divBdr>
            <w:top w:val="none" w:sz="0" w:space="0" w:color="auto"/>
            <w:left w:val="none" w:sz="0" w:space="0" w:color="auto"/>
            <w:bottom w:val="none" w:sz="0" w:space="0" w:color="auto"/>
            <w:right w:val="none" w:sz="0" w:space="0" w:color="auto"/>
          </w:divBdr>
        </w:div>
        <w:div w:id="1614635132">
          <w:marLeft w:val="0"/>
          <w:marRight w:val="0"/>
          <w:marTop w:val="0"/>
          <w:marBottom w:val="0"/>
          <w:divBdr>
            <w:top w:val="none" w:sz="0" w:space="0" w:color="auto"/>
            <w:left w:val="none" w:sz="0" w:space="0" w:color="auto"/>
            <w:bottom w:val="none" w:sz="0" w:space="0" w:color="auto"/>
            <w:right w:val="none" w:sz="0" w:space="0" w:color="auto"/>
          </w:divBdr>
        </w:div>
      </w:divsChild>
    </w:div>
    <w:div w:id="728503934">
      <w:bodyDiv w:val="1"/>
      <w:marLeft w:val="0"/>
      <w:marRight w:val="0"/>
      <w:marTop w:val="0"/>
      <w:marBottom w:val="0"/>
      <w:divBdr>
        <w:top w:val="none" w:sz="0" w:space="0" w:color="auto"/>
        <w:left w:val="none" w:sz="0" w:space="0" w:color="auto"/>
        <w:bottom w:val="none" w:sz="0" w:space="0" w:color="auto"/>
        <w:right w:val="none" w:sz="0" w:space="0" w:color="auto"/>
      </w:divBdr>
    </w:div>
    <w:div w:id="765224270">
      <w:bodyDiv w:val="1"/>
      <w:marLeft w:val="0"/>
      <w:marRight w:val="0"/>
      <w:marTop w:val="0"/>
      <w:marBottom w:val="0"/>
      <w:divBdr>
        <w:top w:val="none" w:sz="0" w:space="0" w:color="auto"/>
        <w:left w:val="none" w:sz="0" w:space="0" w:color="auto"/>
        <w:bottom w:val="none" w:sz="0" w:space="0" w:color="auto"/>
        <w:right w:val="none" w:sz="0" w:space="0" w:color="auto"/>
      </w:divBdr>
    </w:div>
    <w:div w:id="773671302">
      <w:bodyDiv w:val="1"/>
      <w:marLeft w:val="0"/>
      <w:marRight w:val="0"/>
      <w:marTop w:val="0"/>
      <w:marBottom w:val="0"/>
      <w:divBdr>
        <w:top w:val="none" w:sz="0" w:space="0" w:color="auto"/>
        <w:left w:val="none" w:sz="0" w:space="0" w:color="auto"/>
        <w:bottom w:val="none" w:sz="0" w:space="0" w:color="auto"/>
        <w:right w:val="none" w:sz="0" w:space="0" w:color="auto"/>
      </w:divBdr>
      <w:divsChild>
        <w:div w:id="1011836664">
          <w:marLeft w:val="0"/>
          <w:marRight w:val="0"/>
          <w:marTop w:val="0"/>
          <w:marBottom w:val="0"/>
          <w:divBdr>
            <w:top w:val="none" w:sz="0" w:space="0" w:color="auto"/>
            <w:left w:val="none" w:sz="0" w:space="0" w:color="auto"/>
            <w:bottom w:val="none" w:sz="0" w:space="0" w:color="auto"/>
            <w:right w:val="none" w:sz="0" w:space="0" w:color="auto"/>
          </w:divBdr>
        </w:div>
        <w:div w:id="1795102045">
          <w:marLeft w:val="0"/>
          <w:marRight w:val="0"/>
          <w:marTop w:val="0"/>
          <w:marBottom w:val="0"/>
          <w:divBdr>
            <w:top w:val="none" w:sz="0" w:space="0" w:color="auto"/>
            <w:left w:val="none" w:sz="0" w:space="0" w:color="auto"/>
            <w:bottom w:val="none" w:sz="0" w:space="0" w:color="auto"/>
            <w:right w:val="none" w:sz="0" w:space="0" w:color="auto"/>
          </w:divBdr>
        </w:div>
        <w:div w:id="562102729">
          <w:marLeft w:val="360"/>
          <w:marRight w:val="0"/>
          <w:marTop w:val="0"/>
          <w:marBottom w:val="0"/>
          <w:divBdr>
            <w:top w:val="none" w:sz="0" w:space="0" w:color="auto"/>
            <w:left w:val="none" w:sz="0" w:space="0" w:color="auto"/>
            <w:bottom w:val="none" w:sz="0" w:space="0" w:color="auto"/>
            <w:right w:val="none" w:sz="0" w:space="0" w:color="auto"/>
          </w:divBdr>
        </w:div>
        <w:div w:id="21175870">
          <w:marLeft w:val="0"/>
          <w:marRight w:val="0"/>
          <w:marTop w:val="0"/>
          <w:marBottom w:val="0"/>
          <w:divBdr>
            <w:top w:val="none" w:sz="0" w:space="0" w:color="auto"/>
            <w:left w:val="none" w:sz="0" w:space="0" w:color="auto"/>
            <w:bottom w:val="none" w:sz="0" w:space="0" w:color="auto"/>
            <w:right w:val="none" w:sz="0" w:space="0" w:color="auto"/>
          </w:divBdr>
        </w:div>
        <w:div w:id="1165979110">
          <w:marLeft w:val="360"/>
          <w:marRight w:val="0"/>
          <w:marTop w:val="0"/>
          <w:marBottom w:val="0"/>
          <w:divBdr>
            <w:top w:val="none" w:sz="0" w:space="0" w:color="auto"/>
            <w:left w:val="none" w:sz="0" w:space="0" w:color="auto"/>
            <w:bottom w:val="none" w:sz="0" w:space="0" w:color="auto"/>
            <w:right w:val="none" w:sz="0" w:space="0" w:color="auto"/>
          </w:divBdr>
        </w:div>
      </w:divsChild>
    </w:div>
    <w:div w:id="800805043">
      <w:bodyDiv w:val="1"/>
      <w:marLeft w:val="0"/>
      <w:marRight w:val="0"/>
      <w:marTop w:val="0"/>
      <w:marBottom w:val="0"/>
      <w:divBdr>
        <w:top w:val="none" w:sz="0" w:space="0" w:color="auto"/>
        <w:left w:val="none" w:sz="0" w:space="0" w:color="auto"/>
        <w:bottom w:val="none" w:sz="0" w:space="0" w:color="auto"/>
        <w:right w:val="none" w:sz="0" w:space="0" w:color="auto"/>
      </w:divBdr>
      <w:divsChild>
        <w:div w:id="1147436405">
          <w:marLeft w:val="0"/>
          <w:marRight w:val="0"/>
          <w:marTop w:val="0"/>
          <w:marBottom w:val="0"/>
          <w:divBdr>
            <w:top w:val="none" w:sz="0" w:space="0" w:color="auto"/>
            <w:left w:val="none" w:sz="0" w:space="0" w:color="auto"/>
            <w:bottom w:val="none" w:sz="0" w:space="0" w:color="auto"/>
            <w:right w:val="none" w:sz="0" w:space="0" w:color="auto"/>
          </w:divBdr>
        </w:div>
        <w:div w:id="757679237">
          <w:marLeft w:val="0"/>
          <w:marRight w:val="0"/>
          <w:marTop w:val="0"/>
          <w:marBottom w:val="0"/>
          <w:divBdr>
            <w:top w:val="none" w:sz="0" w:space="0" w:color="auto"/>
            <w:left w:val="none" w:sz="0" w:space="0" w:color="auto"/>
            <w:bottom w:val="none" w:sz="0" w:space="0" w:color="auto"/>
            <w:right w:val="none" w:sz="0" w:space="0" w:color="auto"/>
          </w:divBdr>
        </w:div>
      </w:divsChild>
    </w:div>
    <w:div w:id="929388496">
      <w:bodyDiv w:val="1"/>
      <w:marLeft w:val="0"/>
      <w:marRight w:val="0"/>
      <w:marTop w:val="0"/>
      <w:marBottom w:val="0"/>
      <w:divBdr>
        <w:top w:val="none" w:sz="0" w:space="0" w:color="auto"/>
        <w:left w:val="none" w:sz="0" w:space="0" w:color="auto"/>
        <w:bottom w:val="none" w:sz="0" w:space="0" w:color="auto"/>
        <w:right w:val="none" w:sz="0" w:space="0" w:color="auto"/>
      </w:divBdr>
    </w:div>
    <w:div w:id="1126971086">
      <w:bodyDiv w:val="1"/>
      <w:marLeft w:val="0"/>
      <w:marRight w:val="0"/>
      <w:marTop w:val="0"/>
      <w:marBottom w:val="0"/>
      <w:divBdr>
        <w:top w:val="none" w:sz="0" w:space="0" w:color="auto"/>
        <w:left w:val="none" w:sz="0" w:space="0" w:color="auto"/>
        <w:bottom w:val="none" w:sz="0" w:space="0" w:color="auto"/>
        <w:right w:val="none" w:sz="0" w:space="0" w:color="auto"/>
      </w:divBdr>
    </w:div>
    <w:div w:id="1163857549">
      <w:bodyDiv w:val="1"/>
      <w:marLeft w:val="0"/>
      <w:marRight w:val="0"/>
      <w:marTop w:val="0"/>
      <w:marBottom w:val="0"/>
      <w:divBdr>
        <w:top w:val="none" w:sz="0" w:space="0" w:color="auto"/>
        <w:left w:val="none" w:sz="0" w:space="0" w:color="auto"/>
        <w:bottom w:val="none" w:sz="0" w:space="0" w:color="auto"/>
        <w:right w:val="none" w:sz="0" w:space="0" w:color="auto"/>
      </w:divBdr>
    </w:div>
    <w:div w:id="1208378248">
      <w:bodyDiv w:val="1"/>
      <w:marLeft w:val="0"/>
      <w:marRight w:val="0"/>
      <w:marTop w:val="0"/>
      <w:marBottom w:val="0"/>
      <w:divBdr>
        <w:top w:val="none" w:sz="0" w:space="0" w:color="auto"/>
        <w:left w:val="none" w:sz="0" w:space="0" w:color="auto"/>
        <w:bottom w:val="none" w:sz="0" w:space="0" w:color="auto"/>
        <w:right w:val="none" w:sz="0" w:space="0" w:color="auto"/>
      </w:divBdr>
    </w:div>
    <w:div w:id="1226141752">
      <w:bodyDiv w:val="1"/>
      <w:marLeft w:val="0"/>
      <w:marRight w:val="0"/>
      <w:marTop w:val="0"/>
      <w:marBottom w:val="0"/>
      <w:divBdr>
        <w:top w:val="none" w:sz="0" w:space="0" w:color="auto"/>
        <w:left w:val="none" w:sz="0" w:space="0" w:color="auto"/>
        <w:bottom w:val="none" w:sz="0" w:space="0" w:color="auto"/>
        <w:right w:val="none" w:sz="0" w:space="0" w:color="auto"/>
      </w:divBdr>
      <w:divsChild>
        <w:div w:id="1868984441">
          <w:marLeft w:val="0"/>
          <w:marRight w:val="0"/>
          <w:marTop w:val="0"/>
          <w:marBottom w:val="0"/>
          <w:divBdr>
            <w:top w:val="none" w:sz="0" w:space="0" w:color="auto"/>
            <w:left w:val="none" w:sz="0" w:space="0" w:color="auto"/>
            <w:bottom w:val="none" w:sz="0" w:space="0" w:color="auto"/>
            <w:right w:val="none" w:sz="0" w:space="0" w:color="auto"/>
          </w:divBdr>
        </w:div>
        <w:div w:id="39987325">
          <w:marLeft w:val="0"/>
          <w:marRight w:val="0"/>
          <w:marTop w:val="0"/>
          <w:marBottom w:val="0"/>
          <w:divBdr>
            <w:top w:val="none" w:sz="0" w:space="0" w:color="auto"/>
            <w:left w:val="none" w:sz="0" w:space="0" w:color="auto"/>
            <w:bottom w:val="none" w:sz="0" w:space="0" w:color="auto"/>
            <w:right w:val="none" w:sz="0" w:space="0" w:color="auto"/>
          </w:divBdr>
        </w:div>
        <w:div w:id="1651982348">
          <w:marLeft w:val="0"/>
          <w:marRight w:val="0"/>
          <w:marTop w:val="0"/>
          <w:marBottom w:val="0"/>
          <w:divBdr>
            <w:top w:val="none" w:sz="0" w:space="0" w:color="auto"/>
            <w:left w:val="none" w:sz="0" w:space="0" w:color="auto"/>
            <w:bottom w:val="none" w:sz="0" w:space="0" w:color="auto"/>
            <w:right w:val="none" w:sz="0" w:space="0" w:color="auto"/>
          </w:divBdr>
        </w:div>
        <w:div w:id="669911066">
          <w:marLeft w:val="0"/>
          <w:marRight w:val="0"/>
          <w:marTop w:val="0"/>
          <w:marBottom w:val="0"/>
          <w:divBdr>
            <w:top w:val="none" w:sz="0" w:space="0" w:color="auto"/>
            <w:left w:val="none" w:sz="0" w:space="0" w:color="auto"/>
            <w:bottom w:val="none" w:sz="0" w:space="0" w:color="auto"/>
            <w:right w:val="none" w:sz="0" w:space="0" w:color="auto"/>
          </w:divBdr>
        </w:div>
        <w:div w:id="1588461603">
          <w:marLeft w:val="0"/>
          <w:marRight w:val="0"/>
          <w:marTop w:val="0"/>
          <w:marBottom w:val="0"/>
          <w:divBdr>
            <w:top w:val="none" w:sz="0" w:space="0" w:color="auto"/>
            <w:left w:val="none" w:sz="0" w:space="0" w:color="auto"/>
            <w:bottom w:val="none" w:sz="0" w:space="0" w:color="auto"/>
            <w:right w:val="none" w:sz="0" w:space="0" w:color="auto"/>
          </w:divBdr>
        </w:div>
      </w:divsChild>
    </w:div>
    <w:div w:id="1294365554">
      <w:bodyDiv w:val="1"/>
      <w:marLeft w:val="0"/>
      <w:marRight w:val="0"/>
      <w:marTop w:val="0"/>
      <w:marBottom w:val="0"/>
      <w:divBdr>
        <w:top w:val="none" w:sz="0" w:space="0" w:color="auto"/>
        <w:left w:val="none" w:sz="0" w:space="0" w:color="auto"/>
        <w:bottom w:val="none" w:sz="0" w:space="0" w:color="auto"/>
        <w:right w:val="none" w:sz="0" w:space="0" w:color="auto"/>
      </w:divBdr>
    </w:div>
    <w:div w:id="1319460206">
      <w:bodyDiv w:val="1"/>
      <w:marLeft w:val="0"/>
      <w:marRight w:val="0"/>
      <w:marTop w:val="0"/>
      <w:marBottom w:val="0"/>
      <w:divBdr>
        <w:top w:val="none" w:sz="0" w:space="0" w:color="auto"/>
        <w:left w:val="none" w:sz="0" w:space="0" w:color="auto"/>
        <w:bottom w:val="none" w:sz="0" w:space="0" w:color="auto"/>
        <w:right w:val="none" w:sz="0" w:space="0" w:color="auto"/>
      </w:divBdr>
      <w:divsChild>
        <w:div w:id="1904292224">
          <w:marLeft w:val="0"/>
          <w:marRight w:val="0"/>
          <w:marTop w:val="0"/>
          <w:marBottom w:val="0"/>
          <w:divBdr>
            <w:top w:val="none" w:sz="0" w:space="0" w:color="auto"/>
            <w:left w:val="none" w:sz="0" w:space="0" w:color="auto"/>
            <w:bottom w:val="none" w:sz="0" w:space="0" w:color="auto"/>
            <w:right w:val="none" w:sz="0" w:space="0" w:color="auto"/>
          </w:divBdr>
        </w:div>
        <w:div w:id="172572288">
          <w:marLeft w:val="0"/>
          <w:marRight w:val="0"/>
          <w:marTop w:val="0"/>
          <w:marBottom w:val="0"/>
          <w:divBdr>
            <w:top w:val="none" w:sz="0" w:space="0" w:color="auto"/>
            <w:left w:val="none" w:sz="0" w:space="0" w:color="auto"/>
            <w:bottom w:val="none" w:sz="0" w:space="0" w:color="auto"/>
            <w:right w:val="none" w:sz="0" w:space="0" w:color="auto"/>
          </w:divBdr>
        </w:div>
      </w:divsChild>
    </w:div>
    <w:div w:id="1357269990">
      <w:bodyDiv w:val="1"/>
      <w:marLeft w:val="0"/>
      <w:marRight w:val="0"/>
      <w:marTop w:val="0"/>
      <w:marBottom w:val="0"/>
      <w:divBdr>
        <w:top w:val="none" w:sz="0" w:space="0" w:color="auto"/>
        <w:left w:val="none" w:sz="0" w:space="0" w:color="auto"/>
        <w:bottom w:val="none" w:sz="0" w:space="0" w:color="auto"/>
        <w:right w:val="none" w:sz="0" w:space="0" w:color="auto"/>
      </w:divBdr>
      <w:divsChild>
        <w:div w:id="1545364977">
          <w:marLeft w:val="0"/>
          <w:marRight w:val="0"/>
          <w:marTop w:val="0"/>
          <w:marBottom w:val="0"/>
          <w:divBdr>
            <w:top w:val="none" w:sz="0" w:space="0" w:color="auto"/>
            <w:left w:val="none" w:sz="0" w:space="0" w:color="auto"/>
            <w:bottom w:val="none" w:sz="0" w:space="0" w:color="auto"/>
            <w:right w:val="none" w:sz="0" w:space="0" w:color="auto"/>
          </w:divBdr>
        </w:div>
        <w:div w:id="2007247200">
          <w:marLeft w:val="0"/>
          <w:marRight w:val="0"/>
          <w:marTop w:val="0"/>
          <w:marBottom w:val="0"/>
          <w:divBdr>
            <w:top w:val="none" w:sz="0" w:space="0" w:color="auto"/>
            <w:left w:val="none" w:sz="0" w:space="0" w:color="auto"/>
            <w:bottom w:val="none" w:sz="0" w:space="0" w:color="auto"/>
            <w:right w:val="none" w:sz="0" w:space="0" w:color="auto"/>
          </w:divBdr>
        </w:div>
        <w:div w:id="1349260767">
          <w:marLeft w:val="0"/>
          <w:marRight w:val="0"/>
          <w:marTop w:val="0"/>
          <w:marBottom w:val="0"/>
          <w:divBdr>
            <w:top w:val="none" w:sz="0" w:space="0" w:color="auto"/>
            <w:left w:val="none" w:sz="0" w:space="0" w:color="auto"/>
            <w:bottom w:val="none" w:sz="0" w:space="0" w:color="auto"/>
            <w:right w:val="none" w:sz="0" w:space="0" w:color="auto"/>
          </w:divBdr>
        </w:div>
        <w:div w:id="315494410">
          <w:marLeft w:val="0"/>
          <w:marRight w:val="0"/>
          <w:marTop w:val="0"/>
          <w:marBottom w:val="0"/>
          <w:divBdr>
            <w:top w:val="none" w:sz="0" w:space="0" w:color="auto"/>
            <w:left w:val="none" w:sz="0" w:space="0" w:color="auto"/>
            <w:bottom w:val="none" w:sz="0" w:space="0" w:color="auto"/>
            <w:right w:val="none" w:sz="0" w:space="0" w:color="auto"/>
          </w:divBdr>
        </w:div>
      </w:divsChild>
    </w:div>
    <w:div w:id="1377311211">
      <w:bodyDiv w:val="1"/>
      <w:marLeft w:val="0"/>
      <w:marRight w:val="0"/>
      <w:marTop w:val="0"/>
      <w:marBottom w:val="0"/>
      <w:divBdr>
        <w:top w:val="none" w:sz="0" w:space="0" w:color="auto"/>
        <w:left w:val="none" w:sz="0" w:space="0" w:color="auto"/>
        <w:bottom w:val="none" w:sz="0" w:space="0" w:color="auto"/>
        <w:right w:val="none" w:sz="0" w:space="0" w:color="auto"/>
      </w:divBdr>
      <w:divsChild>
        <w:div w:id="776556900">
          <w:marLeft w:val="0"/>
          <w:marRight w:val="0"/>
          <w:marTop w:val="0"/>
          <w:marBottom w:val="0"/>
          <w:divBdr>
            <w:top w:val="none" w:sz="0" w:space="0" w:color="auto"/>
            <w:left w:val="none" w:sz="0" w:space="0" w:color="auto"/>
            <w:bottom w:val="none" w:sz="0" w:space="0" w:color="auto"/>
            <w:right w:val="none" w:sz="0" w:space="0" w:color="auto"/>
          </w:divBdr>
        </w:div>
        <w:div w:id="269047016">
          <w:marLeft w:val="0"/>
          <w:marRight w:val="0"/>
          <w:marTop w:val="0"/>
          <w:marBottom w:val="0"/>
          <w:divBdr>
            <w:top w:val="none" w:sz="0" w:space="0" w:color="auto"/>
            <w:left w:val="none" w:sz="0" w:space="0" w:color="auto"/>
            <w:bottom w:val="none" w:sz="0" w:space="0" w:color="auto"/>
            <w:right w:val="none" w:sz="0" w:space="0" w:color="auto"/>
          </w:divBdr>
        </w:div>
        <w:div w:id="1825194564">
          <w:marLeft w:val="0"/>
          <w:marRight w:val="0"/>
          <w:marTop w:val="0"/>
          <w:marBottom w:val="0"/>
          <w:divBdr>
            <w:top w:val="none" w:sz="0" w:space="0" w:color="auto"/>
            <w:left w:val="none" w:sz="0" w:space="0" w:color="auto"/>
            <w:bottom w:val="none" w:sz="0" w:space="0" w:color="auto"/>
            <w:right w:val="none" w:sz="0" w:space="0" w:color="auto"/>
          </w:divBdr>
        </w:div>
        <w:div w:id="1026175055">
          <w:marLeft w:val="0"/>
          <w:marRight w:val="0"/>
          <w:marTop w:val="0"/>
          <w:marBottom w:val="0"/>
          <w:divBdr>
            <w:top w:val="none" w:sz="0" w:space="0" w:color="auto"/>
            <w:left w:val="none" w:sz="0" w:space="0" w:color="auto"/>
            <w:bottom w:val="none" w:sz="0" w:space="0" w:color="auto"/>
            <w:right w:val="none" w:sz="0" w:space="0" w:color="auto"/>
          </w:divBdr>
        </w:div>
      </w:divsChild>
    </w:div>
    <w:div w:id="1412502317">
      <w:bodyDiv w:val="1"/>
      <w:marLeft w:val="0"/>
      <w:marRight w:val="0"/>
      <w:marTop w:val="0"/>
      <w:marBottom w:val="0"/>
      <w:divBdr>
        <w:top w:val="none" w:sz="0" w:space="0" w:color="auto"/>
        <w:left w:val="none" w:sz="0" w:space="0" w:color="auto"/>
        <w:bottom w:val="none" w:sz="0" w:space="0" w:color="auto"/>
        <w:right w:val="none" w:sz="0" w:space="0" w:color="auto"/>
      </w:divBdr>
      <w:divsChild>
        <w:div w:id="1141965804">
          <w:marLeft w:val="0"/>
          <w:marRight w:val="0"/>
          <w:marTop w:val="0"/>
          <w:marBottom w:val="0"/>
          <w:divBdr>
            <w:top w:val="none" w:sz="0" w:space="0" w:color="auto"/>
            <w:left w:val="none" w:sz="0" w:space="0" w:color="auto"/>
            <w:bottom w:val="none" w:sz="0" w:space="0" w:color="auto"/>
            <w:right w:val="none" w:sz="0" w:space="0" w:color="auto"/>
          </w:divBdr>
        </w:div>
        <w:div w:id="190648143">
          <w:marLeft w:val="0"/>
          <w:marRight w:val="0"/>
          <w:marTop w:val="0"/>
          <w:marBottom w:val="0"/>
          <w:divBdr>
            <w:top w:val="none" w:sz="0" w:space="0" w:color="auto"/>
            <w:left w:val="none" w:sz="0" w:space="0" w:color="auto"/>
            <w:bottom w:val="none" w:sz="0" w:space="0" w:color="auto"/>
            <w:right w:val="none" w:sz="0" w:space="0" w:color="auto"/>
          </w:divBdr>
        </w:div>
      </w:divsChild>
    </w:div>
    <w:div w:id="1420759088">
      <w:bodyDiv w:val="1"/>
      <w:marLeft w:val="0"/>
      <w:marRight w:val="0"/>
      <w:marTop w:val="0"/>
      <w:marBottom w:val="0"/>
      <w:divBdr>
        <w:top w:val="none" w:sz="0" w:space="0" w:color="auto"/>
        <w:left w:val="none" w:sz="0" w:space="0" w:color="auto"/>
        <w:bottom w:val="none" w:sz="0" w:space="0" w:color="auto"/>
        <w:right w:val="none" w:sz="0" w:space="0" w:color="auto"/>
      </w:divBdr>
      <w:divsChild>
        <w:div w:id="904415663">
          <w:marLeft w:val="0"/>
          <w:marRight w:val="0"/>
          <w:marTop w:val="0"/>
          <w:marBottom w:val="0"/>
          <w:divBdr>
            <w:top w:val="none" w:sz="0" w:space="0" w:color="auto"/>
            <w:left w:val="none" w:sz="0" w:space="0" w:color="auto"/>
            <w:bottom w:val="none" w:sz="0" w:space="0" w:color="auto"/>
            <w:right w:val="none" w:sz="0" w:space="0" w:color="auto"/>
          </w:divBdr>
        </w:div>
        <w:div w:id="1734427485">
          <w:marLeft w:val="0"/>
          <w:marRight w:val="0"/>
          <w:marTop w:val="0"/>
          <w:marBottom w:val="0"/>
          <w:divBdr>
            <w:top w:val="none" w:sz="0" w:space="0" w:color="auto"/>
            <w:left w:val="none" w:sz="0" w:space="0" w:color="auto"/>
            <w:bottom w:val="none" w:sz="0" w:space="0" w:color="auto"/>
            <w:right w:val="none" w:sz="0" w:space="0" w:color="auto"/>
          </w:divBdr>
        </w:div>
        <w:div w:id="1908758994">
          <w:marLeft w:val="0"/>
          <w:marRight w:val="0"/>
          <w:marTop w:val="0"/>
          <w:marBottom w:val="0"/>
          <w:divBdr>
            <w:top w:val="none" w:sz="0" w:space="0" w:color="auto"/>
            <w:left w:val="none" w:sz="0" w:space="0" w:color="auto"/>
            <w:bottom w:val="none" w:sz="0" w:space="0" w:color="auto"/>
            <w:right w:val="none" w:sz="0" w:space="0" w:color="auto"/>
          </w:divBdr>
        </w:div>
        <w:div w:id="2017002048">
          <w:marLeft w:val="0"/>
          <w:marRight w:val="0"/>
          <w:marTop w:val="0"/>
          <w:marBottom w:val="0"/>
          <w:divBdr>
            <w:top w:val="none" w:sz="0" w:space="0" w:color="auto"/>
            <w:left w:val="none" w:sz="0" w:space="0" w:color="auto"/>
            <w:bottom w:val="none" w:sz="0" w:space="0" w:color="auto"/>
            <w:right w:val="none" w:sz="0" w:space="0" w:color="auto"/>
          </w:divBdr>
        </w:div>
      </w:divsChild>
    </w:div>
    <w:div w:id="1449854385">
      <w:bodyDiv w:val="1"/>
      <w:marLeft w:val="0"/>
      <w:marRight w:val="0"/>
      <w:marTop w:val="0"/>
      <w:marBottom w:val="0"/>
      <w:divBdr>
        <w:top w:val="none" w:sz="0" w:space="0" w:color="auto"/>
        <w:left w:val="none" w:sz="0" w:space="0" w:color="auto"/>
        <w:bottom w:val="none" w:sz="0" w:space="0" w:color="auto"/>
        <w:right w:val="none" w:sz="0" w:space="0" w:color="auto"/>
      </w:divBdr>
      <w:divsChild>
        <w:div w:id="136606467">
          <w:marLeft w:val="0"/>
          <w:marRight w:val="0"/>
          <w:marTop w:val="0"/>
          <w:marBottom w:val="0"/>
          <w:divBdr>
            <w:top w:val="none" w:sz="0" w:space="0" w:color="auto"/>
            <w:left w:val="none" w:sz="0" w:space="0" w:color="auto"/>
            <w:bottom w:val="none" w:sz="0" w:space="0" w:color="auto"/>
            <w:right w:val="none" w:sz="0" w:space="0" w:color="auto"/>
          </w:divBdr>
        </w:div>
      </w:divsChild>
    </w:div>
    <w:div w:id="1608852164">
      <w:bodyDiv w:val="1"/>
      <w:marLeft w:val="0"/>
      <w:marRight w:val="0"/>
      <w:marTop w:val="0"/>
      <w:marBottom w:val="0"/>
      <w:divBdr>
        <w:top w:val="none" w:sz="0" w:space="0" w:color="auto"/>
        <w:left w:val="none" w:sz="0" w:space="0" w:color="auto"/>
        <w:bottom w:val="none" w:sz="0" w:space="0" w:color="auto"/>
        <w:right w:val="none" w:sz="0" w:space="0" w:color="auto"/>
      </w:divBdr>
    </w:div>
    <w:div w:id="1691487572">
      <w:bodyDiv w:val="1"/>
      <w:marLeft w:val="0"/>
      <w:marRight w:val="0"/>
      <w:marTop w:val="0"/>
      <w:marBottom w:val="0"/>
      <w:divBdr>
        <w:top w:val="none" w:sz="0" w:space="0" w:color="auto"/>
        <w:left w:val="none" w:sz="0" w:space="0" w:color="auto"/>
        <w:bottom w:val="none" w:sz="0" w:space="0" w:color="auto"/>
        <w:right w:val="none" w:sz="0" w:space="0" w:color="auto"/>
      </w:divBdr>
    </w:div>
    <w:div w:id="1715156173">
      <w:bodyDiv w:val="1"/>
      <w:marLeft w:val="0"/>
      <w:marRight w:val="0"/>
      <w:marTop w:val="0"/>
      <w:marBottom w:val="0"/>
      <w:divBdr>
        <w:top w:val="none" w:sz="0" w:space="0" w:color="auto"/>
        <w:left w:val="none" w:sz="0" w:space="0" w:color="auto"/>
        <w:bottom w:val="none" w:sz="0" w:space="0" w:color="auto"/>
        <w:right w:val="none" w:sz="0" w:space="0" w:color="auto"/>
      </w:divBdr>
    </w:div>
    <w:div w:id="1773432234">
      <w:bodyDiv w:val="1"/>
      <w:marLeft w:val="0"/>
      <w:marRight w:val="0"/>
      <w:marTop w:val="0"/>
      <w:marBottom w:val="0"/>
      <w:divBdr>
        <w:top w:val="none" w:sz="0" w:space="0" w:color="auto"/>
        <w:left w:val="none" w:sz="0" w:space="0" w:color="auto"/>
        <w:bottom w:val="none" w:sz="0" w:space="0" w:color="auto"/>
        <w:right w:val="none" w:sz="0" w:space="0" w:color="auto"/>
      </w:divBdr>
    </w:div>
    <w:div w:id="1805846830">
      <w:bodyDiv w:val="1"/>
      <w:marLeft w:val="0"/>
      <w:marRight w:val="0"/>
      <w:marTop w:val="0"/>
      <w:marBottom w:val="0"/>
      <w:divBdr>
        <w:top w:val="none" w:sz="0" w:space="0" w:color="auto"/>
        <w:left w:val="none" w:sz="0" w:space="0" w:color="auto"/>
        <w:bottom w:val="none" w:sz="0" w:space="0" w:color="auto"/>
        <w:right w:val="none" w:sz="0" w:space="0" w:color="auto"/>
      </w:divBdr>
    </w:div>
    <w:div w:id="1816683037">
      <w:bodyDiv w:val="1"/>
      <w:marLeft w:val="0"/>
      <w:marRight w:val="0"/>
      <w:marTop w:val="0"/>
      <w:marBottom w:val="0"/>
      <w:divBdr>
        <w:top w:val="none" w:sz="0" w:space="0" w:color="auto"/>
        <w:left w:val="none" w:sz="0" w:space="0" w:color="auto"/>
        <w:bottom w:val="none" w:sz="0" w:space="0" w:color="auto"/>
        <w:right w:val="none" w:sz="0" w:space="0" w:color="auto"/>
      </w:divBdr>
      <w:divsChild>
        <w:div w:id="1793286752">
          <w:marLeft w:val="0"/>
          <w:marRight w:val="0"/>
          <w:marTop w:val="0"/>
          <w:marBottom w:val="0"/>
          <w:divBdr>
            <w:top w:val="none" w:sz="0" w:space="0" w:color="auto"/>
            <w:left w:val="none" w:sz="0" w:space="0" w:color="auto"/>
            <w:bottom w:val="none" w:sz="0" w:space="0" w:color="auto"/>
            <w:right w:val="none" w:sz="0" w:space="0" w:color="auto"/>
          </w:divBdr>
        </w:div>
        <w:div w:id="795756278">
          <w:marLeft w:val="0"/>
          <w:marRight w:val="0"/>
          <w:marTop w:val="0"/>
          <w:marBottom w:val="0"/>
          <w:divBdr>
            <w:top w:val="none" w:sz="0" w:space="0" w:color="auto"/>
            <w:left w:val="none" w:sz="0" w:space="0" w:color="auto"/>
            <w:bottom w:val="none" w:sz="0" w:space="0" w:color="auto"/>
            <w:right w:val="none" w:sz="0" w:space="0" w:color="auto"/>
          </w:divBdr>
        </w:div>
        <w:div w:id="2037807513">
          <w:marLeft w:val="0"/>
          <w:marRight w:val="0"/>
          <w:marTop w:val="0"/>
          <w:marBottom w:val="0"/>
          <w:divBdr>
            <w:top w:val="none" w:sz="0" w:space="0" w:color="auto"/>
            <w:left w:val="none" w:sz="0" w:space="0" w:color="auto"/>
            <w:bottom w:val="none" w:sz="0" w:space="0" w:color="auto"/>
            <w:right w:val="none" w:sz="0" w:space="0" w:color="auto"/>
          </w:divBdr>
        </w:div>
        <w:div w:id="2104913934">
          <w:marLeft w:val="0"/>
          <w:marRight w:val="0"/>
          <w:marTop w:val="0"/>
          <w:marBottom w:val="0"/>
          <w:divBdr>
            <w:top w:val="none" w:sz="0" w:space="0" w:color="auto"/>
            <w:left w:val="none" w:sz="0" w:space="0" w:color="auto"/>
            <w:bottom w:val="none" w:sz="0" w:space="0" w:color="auto"/>
            <w:right w:val="none" w:sz="0" w:space="0" w:color="auto"/>
          </w:divBdr>
        </w:div>
        <w:div w:id="51463349">
          <w:marLeft w:val="0"/>
          <w:marRight w:val="0"/>
          <w:marTop w:val="0"/>
          <w:marBottom w:val="0"/>
          <w:divBdr>
            <w:top w:val="none" w:sz="0" w:space="0" w:color="auto"/>
            <w:left w:val="none" w:sz="0" w:space="0" w:color="auto"/>
            <w:bottom w:val="none" w:sz="0" w:space="0" w:color="auto"/>
            <w:right w:val="none" w:sz="0" w:space="0" w:color="auto"/>
          </w:divBdr>
        </w:div>
        <w:div w:id="1788616525">
          <w:marLeft w:val="0"/>
          <w:marRight w:val="0"/>
          <w:marTop w:val="0"/>
          <w:marBottom w:val="0"/>
          <w:divBdr>
            <w:top w:val="none" w:sz="0" w:space="0" w:color="auto"/>
            <w:left w:val="none" w:sz="0" w:space="0" w:color="auto"/>
            <w:bottom w:val="none" w:sz="0" w:space="0" w:color="auto"/>
            <w:right w:val="none" w:sz="0" w:space="0" w:color="auto"/>
          </w:divBdr>
        </w:div>
        <w:div w:id="1768312066">
          <w:marLeft w:val="0"/>
          <w:marRight w:val="0"/>
          <w:marTop w:val="0"/>
          <w:marBottom w:val="0"/>
          <w:divBdr>
            <w:top w:val="none" w:sz="0" w:space="0" w:color="auto"/>
            <w:left w:val="none" w:sz="0" w:space="0" w:color="auto"/>
            <w:bottom w:val="none" w:sz="0" w:space="0" w:color="auto"/>
            <w:right w:val="none" w:sz="0" w:space="0" w:color="auto"/>
          </w:divBdr>
        </w:div>
        <w:div w:id="1628466624">
          <w:marLeft w:val="0"/>
          <w:marRight w:val="0"/>
          <w:marTop w:val="0"/>
          <w:marBottom w:val="0"/>
          <w:divBdr>
            <w:top w:val="none" w:sz="0" w:space="0" w:color="auto"/>
            <w:left w:val="none" w:sz="0" w:space="0" w:color="auto"/>
            <w:bottom w:val="none" w:sz="0" w:space="0" w:color="auto"/>
            <w:right w:val="none" w:sz="0" w:space="0" w:color="auto"/>
          </w:divBdr>
        </w:div>
        <w:div w:id="31616767">
          <w:marLeft w:val="0"/>
          <w:marRight w:val="0"/>
          <w:marTop w:val="0"/>
          <w:marBottom w:val="0"/>
          <w:divBdr>
            <w:top w:val="none" w:sz="0" w:space="0" w:color="auto"/>
            <w:left w:val="none" w:sz="0" w:space="0" w:color="auto"/>
            <w:bottom w:val="none" w:sz="0" w:space="0" w:color="auto"/>
            <w:right w:val="none" w:sz="0" w:space="0" w:color="auto"/>
          </w:divBdr>
        </w:div>
        <w:div w:id="1145439123">
          <w:marLeft w:val="0"/>
          <w:marRight w:val="0"/>
          <w:marTop w:val="0"/>
          <w:marBottom w:val="0"/>
          <w:divBdr>
            <w:top w:val="none" w:sz="0" w:space="0" w:color="auto"/>
            <w:left w:val="none" w:sz="0" w:space="0" w:color="auto"/>
            <w:bottom w:val="none" w:sz="0" w:space="0" w:color="auto"/>
            <w:right w:val="none" w:sz="0" w:space="0" w:color="auto"/>
          </w:divBdr>
        </w:div>
        <w:div w:id="557977530">
          <w:marLeft w:val="0"/>
          <w:marRight w:val="0"/>
          <w:marTop w:val="0"/>
          <w:marBottom w:val="0"/>
          <w:divBdr>
            <w:top w:val="none" w:sz="0" w:space="0" w:color="auto"/>
            <w:left w:val="none" w:sz="0" w:space="0" w:color="auto"/>
            <w:bottom w:val="none" w:sz="0" w:space="0" w:color="auto"/>
            <w:right w:val="none" w:sz="0" w:space="0" w:color="auto"/>
          </w:divBdr>
        </w:div>
        <w:div w:id="1463619812">
          <w:marLeft w:val="0"/>
          <w:marRight w:val="0"/>
          <w:marTop w:val="0"/>
          <w:marBottom w:val="0"/>
          <w:divBdr>
            <w:top w:val="none" w:sz="0" w:space="0" w:color="auto"/>
            <w:left w:val="none" w:sz="0" w:space="0" w:color="auto"/>
            <w:bottom w:val="none" w:sz="0" w:space="0" w:color="auto"/>
            <w:right w:val="none" w:sz="0" w:space="0" w:color="auto"/>
          </w:divBdr>
        </w:div>
        <w:div w:id="193926458">
          <w:marLeft w:val="0"/>
          <w:marRight w:val="0"/>
          <w:marTop w:val="0"/>
          <w:marBottom w:val="0"/>
          <w:divBdr>
            <w:top w:val="none" w:sz="0" w:space="0" w:color="auto"/>
            <w:left w:val="none" w:sz="0" w:space="0" w:color="auto"/>
            <w:bottom w:val="none" w:sz="0" w:space="0" w:color="auto"/>
            <w:right w:val="none" w:sz="0" w:space="0" w:color="auto"/>
          </w:divBdr>
        </w:div>
        <w:div w:id="1491210231">
          <w:marLeft w:val="0"/>
          <w:marRight w:val="0"/>
          <w:marTop w:val="0"/>
          <w:marBottom w:val="0"/>
          <w:divBdr>
            <w:top w:val="none" w:sz="0" w:space="0" w:color="auto"/>
            <w:left w:val="none" w:sz="0" w:space="0" w:color="auto"/>
            <w:bottom w:val="none" w:sz="0" w:space="0" w:color="auto"/>
            <w:right w:val="none" w:sz="0" w:space="0" w:color="auto"/>
          </w:divBdr>
        </w:div>
        <w:div w:id="126705933">
          <w:marLeft w:val="0"/>
          <w:marRight w:val="0"/>
          <w:marTop w:val="0"/>
          <w:marBottom w:val="0"/>
          <w:divBdr>
            <w:top w:val="none" w:sz="0" w:space="0" w:color="auto"/>
            <w:left w:val="none" w:sz="0" w:space="0" w:color="auto"/>
            <w:bottom w:val="none" w:sz="0" w:space="0" w:color="auto"/>
            <w:right w:val="none" w:sz="0" w:space="0" w:color="auto"/>
          </w:divBdr>
        </w:div>
        <w:div w:id="1711226355">
          <w:marLeft w:val="0"/>
          <w:marRight w:val="0"/>
          <w:marTop w:val="0"/>
          <w:marBottom w:val="0"/>
          <w:divBdr>
            <w:top w:val="none" w:sz="0" w:space="0" w:color="auto"/>
            <w:left w:val="none" w:sz="0" w:space="0" w:color="auto"/>
            <w:bottom w:val="none" w:sz="0" w:space="0" w:color="auto"/>
            <w:right w:val="none" w:sz="0" w:space="0" w:color="auto"/>
          </w:divBdr>
        </w:div>
        <w:div w:id="848180927">
          <w:marLeft w:val="0"/>
          <w:marRight w:val="0"/>
          <w:marTop w:val="0"/>
          <w:marBottom w:val="0"/>
          <w:divBdr>
            <w:top w:val="none" w:sz="0" w:space="0" w:color="auto"/>
            <w:left w:val="none" w:sz="0" w:space="0" w:color="auto"/>
            <w:bottom w:val="none" w:sz="0" w:space="0" w:color="auto"/>
            <w:right w:val="none" w:sz="0" w:space="0" w:color="auto"/>
          </w:divBdr>
        </w:div>
        <w:div w:id="1204706590">
          <w:marLeft w:val="0"/>
          <w:marRight w:val="0"/>
          <w:marTop w:val="0"/>
          <w:marBottom w:val="0"/>
          <w:divBdr>
            <w:top w:val="none" w:sz="0" w:space="0" w:color="auto"/>
            <w:left w:val="none" w:sz="0" w:space="0" w:color="auto"/>
            <w:bottom w:val="none" w:sz="0" w:space="0" w:color="auto"/>
            <w:right w:val="none" w:sz="0" w:space="0" w:color="auto"/>
          </w:divBdr>
        </w:div>
        <w:div w:id="1618683921">
          <w:marLeft w:val="0"/>
          <w:marRight w:val="0"/>
          <w:marTop w:val="0"/>
          <w:marBottom w:val="0"/>
          <w:divBdr>
            <w:top w:val="none" w:sz="0" w:space="0" w:color="auto"/>
            <w:left w:val="none" w:sz="0" w:space="0" w:color="auto"/>
            <w:bottom w:val="none" w:sz="0" w:space="0" w:color="auto"/>
            <w:right w:val="none" w:sz="0" w:space="0" w:color="auto"/>
          </w:divBdr>
        </w:div>
        <w:div w:id="478617279">
          <w:marLeft w:val="0"/>
          <w:marRight w:val="0"/>
          <w:marTop w:val="0"/>
          <w:marBottom w:val="0"/>
          <w:divBdr>
            <w:top w:val="none" w:sz="0" w:space="0" w:color="auto"/>
            <w:left w:val="none" w:sz="0" w:space="0" w:color="auto"/>
            <w:bottom w:val="none" w:sz="0" w:space="0" w:color="auto"/>
            <w:right w:val="none" w:sz="0" w:space="0" w:color="auto"/>
          </w:divBdr>
        </w:div>
        <w:div w:id="86270223">
          <w:marLeft w:val="0"/>
          <w:marRight w:val="0"/>
          <w:marTop w:val="0"/>
          <w:marBottom w:val="0"/>
          <w:divBdr>
            <w:top w:val="none" w:sz="0" w:space="0" w:color="auto"/>
            <w:left w:val="none" w:sz="0" w:space="0" w:color="auto"/>
            <w:bottom w:val="none" w:sz="0" w:space="0" w:color="auto"/>
            <w:right w:val="none" w:sz="0" w:space="0" w:color="auto"/>
          </w:divBdr>
        </w:div>
        <w:div w:id="733042482">
          <w:marLeft w:val="0"/>
          <w:marRight w:val="0"/>
          <w:marTop w:val="0"/>
          <w:marBottom w:val="0"/>
          <w:divBdr>
            <w:top w:val="none" w:sz="0" w:space="0" w:color="auto"/>
            <w:left w:val="none" w:sz="0" w:space="0" w:color="auto"/>
            <w:bottom w:val="none" w:sz="0" w:space="0" w:color="auto"/>
            <w:right w:val="none" w:sz="0" w:space="0" w:color="auto"/>
          </w:divBdr>
        </w:div>
        <w:div w:id="901913476">
          <w:marLeft w:val="0"/>
          <w:marRight w:val="0"/>
          <w:marTop w:val="0"/>
          <w:marBottom w:val="0"/>
          <w:divBdr>
            <w:top w:val="none" w:sz="0" w:space="0" w:color="auto"/>
            <w:left w:val="none" w:sz="0" w:space="0" w:color="auto"/>
            <w:bottom w:val="none" w:sz="0" w:space="0" w:color="auto"/>
            <w:right w:val="none" w:sz="0" w:space="0" w:color="auto"/>
          </w:divBdr>
        </w:div>
        <w:div w:id="643047469">
          <w:marLeft w:val="0"/>
          <w:marRight w:val="0"/>
          <w:marTop w:val="0"/>
          <w:marBottom w:val="0"/>
          <w:divBdr>
            <w:top w:val="none" w:sz="0" w:space="0" w:color="auto"/>
            <w:left w:val="none" w:sz="0" w:space="0" w:color="auto"/>
            <w:bottom w:val="none" w:sz="0" w:space="0" w:color="auto"/>
            <w:right w:val="none" w:sz="0" w:space="0" w:color="auto"/>
          </w:divBdr>
        </w:div>
        <w:div w:id="1889143577">
          <w:marLeft w:val="0"/>
          <w:marRight w:val="0"/>
          <w:marTop w:val="0"/>
          <w:marBottom w:val="0"/>
          <w:divBdr>
            <w:top w:val="none" w:sz="0" w:space="0" w:color="auto"/>
            <w:left w:val="none" w:sz="0" w:space="0" w:color="auto"/>
            <w:bottom w:val="none" w:sz="0" w:space="0" w:color="auto"/>
            <w:right w:val="none" w:sz="0" w:space="0" w:color="auto"/>
          </w:divBdr>
        </w:div>
        <w:div w:id="1460100669">
          <w:marLeft w:val="0"/>
          <w:marRight w:val="0"/>
          <w:marTop w:val="0"/>
          <w:marBottom w:val="0"/>
          <w:divBdr>
            <w:top w:val="none" w:sz="0" w:space="0" w:color="auto"/>
            <w:left w:val="none" w:sz="0" w:space="0" w:color="auto"/>
            <w:bottom w:val="none" w:sz="0" w:space="0" w:color="auto"/>
            <w:right w:val="none" w:sz="0" w:space="0" w:color="auto"/>
          </w:divBdr>
        </w:div>
        <w:div w:id="2135976176">
          <w:marLeft w:val="0"/>
          <w:marRight w:val="0"/>
          <w:marTop w:val="0"/>
          <w:marBottom w:val="0"/>
          <w:divBdr>
            <w:top w:val="none" w:sz="0" w:space="0" w:color="auto"/>
            <w:left w:val="none" w:sz="0" w:space="0" w:color="auto"/>
            <w:bottom w:val="none" w:sz="0" w:space="0" w:color="auto"/>
            <w:right w:val="none" w:sz="0" w:space="0" w:color="auto"/>
          </w:divBdr>
        </w:div>
        <w:div w:id="1642922537">
          <w:marLeft w:val="0"/>
          <w:marRight w:val="0"/>
          <w:marTop w:val="0"/>
          <w:marBottom w:val="0"/>
          <w:divBdr>
            <w:top w:val="none" w:sz="0" w:space="0" w:color="auto"/>
            <w:left w:val="none" w:sz="0" w:space="0" w:color="auto"/>
            <w:bottom w:val="none" w:sz="0" w:space="0" w:color="auto"/>
            <w:right w:val="none" w:sz="0" w:space="0" w:color="auto"/>
          </w:divBdr>
        </w:div>
      </w:divsChild>
    </w:div>
    <w:div w:id="1830246228">
      <w:bodyDiv w:val="1"/>
      <w:marLeft w:val="0"/>
      <w:marRight w:val="0"/>
      <w:marTop w:val="0"/>
      <w:marBottom w:val="0"/>
      <w:divBdr>
        <w:top w:val="none" w:sz="0" w:space="0" w:color="auto"/>
        <w:left w:val="none" w:sz="0" w:space="0" w:color="auto"/>
        <w:bottom w:val="none" w:sz="0" w:space="0" w:color="auto"/>
        <w:right w:val="none" w:sz="0" w:space="0" w:color="auto"/>
      </w:divBdr>
    </w:div>
    <w:div w:id="1874689574">
      <w:bodyDiv w:val="1"/>
      <w:marLeft w:val="0"/>
      <w:marRight w:val="0"/>
      <w:marTop w:val="0"/>
      <w:marBottom w:val="0"/>
      <w:divBdr>
        <w:top w:val="none" w:sz="0" w:space="0" w:color="auto"/>
        <w:left w:val="none" w:sz="0" w:space="0" w:color="auto"/>
        <w:bottom w:val="none" w:sz="0" w:space="0" w:color="auto"/>
        <w:right w:val="none" w:sz="0" w:space="0" w:color="auto"/>
      </w:divBdr>
      <w:divsChild>
        <w:div w:id="1643924301">
          <w:marLeft w:val="0"/>
          <w:marRight w:val="0"/>
          <w:marTop w:val="0"/>
          <w:marBottom w:val="0"/>
          <w:divBdr>
            <w:top w:val="none" w:sz="0" w:space="0" w:color="auto"/>
            <w:left w:val="none" w:sz="0" w:space="0" w:color="auto"/>
            <w:bottom w:val="none" w:sz="0" w:space="0" w:color="auto"/>
            <w:right w:val="none" w:sz="0" w:space="0" w:color="auto"/>
          </w:divBdr>
        </w:div>
        <w:div w:id="2016960085">
          <w:marLeft w:val="0"/>
          <w:marRight w:val="0"/>
          <w:marTop w:val="0"/>
          <w:marBottom w:val="0"/>
          <w:divBdr>
            <w:top w:val="none" w:sz="0" w:space="0" w:color="auto"/>
            <w:left w:val="none" w:sz="0" w:space="0" w:color="auto"/>
            <w:bottom w:val="none" w:sz="0" w:space="0" w:color="auto"/>
            <w:right w:val="none" w:sz="0" w:space="0" w:color="auto"/>
          </w:divBdr>
        </w:div>
        <w:div w:id="383876480">
          <w:marLeft w:val="0"/>
          <w:marRight w:val="0"/>
          <w:marTop w:val="0"/>
          <w:marBottom w:val="0"/>
          <w:divBdr>
            <w:top w:val="none" w:sz="0" w:space="0" w:color="auto"/>
            <w:left w:val="none" w:sz="0" w:space="0" w:color="auto"/>
            <w:bottom w:val="none" w:sz="0" w:space="0" w:color="auto"/>
            <w:right w:val="none" w:sz="0" w:space="0" w:color="auto"/>
          </w:divBdr>
        </w:div>
        <w:div w:id="1439565660">
          <w:marLeft w:val="0"/>
          <w:marRight w:val="0"/>
          <w:marTop w:val="0"/>
          <w:marBottom w:val="0"/>
          <w:divBdr>
            <w:top w:val="none" w:sz="0" w:space="0" w:color="auto"/>
            <w:left w:val="none" w:sz="0" w:space="0" w:color="auto"/>
            <w:bottom w:val="none" w:sz="0" w:space="0" w:color="auto"/>
            <w:right w:val="none" w:sz="0" w:space="0" w:color="auto"/>
          </w:divBdr>
        </w:div>
        <w:div w:id="1551308353">
          <w:marLeft w:val="0"/>
          <w:marRight w:val="0"/>
          <w:marTop w:val="0"/>
          <w:marBottom w:val="0"/>
          <w:divBdr>
            <w:top w:val="none" w:sz="0" w:space="0" w:color="auto"/>
            <w:left w:val="none" w:sz="0" w:space="0" w:color="auto"/>
            <w:bottom w:val="none" w:sz="0" w:space="0" w:color="auto"/>
            <w:right w:val="none" w:sz="0" w:space="0" w:color="auto"/>
          </w:divBdr>
        </w:div>
        <w:div w:id="1339960444">
          <w:marLeft w:val="0"/>
          <w:marRight w:val="0"/>
          <w:marTop w:val="0"/>
          <w:marBottom w:val="0"/>
          <w:divBdr>
            <w:top w:val="none" w:sz="0" w:space="0" w:color="auto"/>
            <w:left w:val="none" w:sz="0" w:space="0" w:color="auto"/>
            <w:bottom w:val="none" w:sz="0" w:space="0" w:color="auto"/>
            <w:right w:val="none" w:sz="0" w:space="0" w:color="auto"/>
          </w:divBdr>
        </w:div>
        <w:div w:id="456416841">
          <w:marLeft w:val="0"/>
          <w:marRight w:val="0"/>
          <w:marTop w:val="0"/>
          <w:marBottom w:val="0"/>
          <w:divBdr>
            <w:top w:val="none" w:sz="0" w:space="0" w:color="auto"/>
            <w:left w:val="none" w:sz="0" w:space="0" w:color="auto"/>
            <w:bottom w:val="none" w:sz="0" w:space="0" w:color="auto"/>
            <w:right w:val="none" w:sz="0" w:space="0" w:color="auto"/>
          </w:divBdr>
        </w:div>
        <w:div w:id="1029527110">
          <w:marLeft w:val="0"/>
          <w:marRight w:val="0"/>
          <w:marTop w:val="0"/>
          <w:marBottom w:val="0"/>
          <w:divBdr>
            <w:top w:val="none" w:sz="0" w:space="0" w:color="auto"/>
            <w:left w:val="none" w:sz="0" w:space="0" w:color="auto"/>
            <w:bottom w:val="none" w:sz="0" w:space="0" w:color="auto"/>
            <w:right w:val="none" w:sz="0" w:space="0" w:color="auto"/>
          </w:divBdr>
        </w:div>
      </w:divsChild>
    </w:div>
    <w:div w:id="1937638702">
      <w:bodyDiv w:val="1"/>
      <w:marLeft w:val="0"/>
      <w:marRight w:val="0"/>
      <w:marTop w:val="0"/>
      <w:marBottom w:val="0"/>
      <w:divBdr>
        <w:top w:val="none" w:sz="0" w:space="0" w:color="auto"/>
        <w:left w:val="none" w:sz="0" w:space="0" w:color="auto"/>
        <w:bottom w:val="none" w:sz="0" w:space="0" w:color="auto"/>
        <w:right w:val="none" w:sz="0" w:space="0" w:color="auto"/>
      </w:divBdr>
      <w:divsChild>
        <w:div w:id="391126494">
          <w:marLeft w:val="0"/>
          <w:marRight w:val="270"/>
          <w:marTop w:val="0"/>
          <w:marBottom w:val="0"/>
          <w:divBdr>
            <w:top w:val="none" w:sz="0" w:space="0" w:color="auto"/>
            <w:left w:val="none" w:sz="0" w:space="0" w:color="auto"/>
            <w:bottom w:val="none" w:sz="0" w:space="0" w:color="auto"/>
            <w:right w:val="none" w:sz="0" w:space="0" w:color="auto"/>
          </w:divBdr>
        </w:div>
        <w:div w:id="1807316166">
          <w:marLeft w:val="0"/>
          <w:marRight w:val="270"/>
          <w:marTop w:val="0"/>
          <w:marBottom w:val="0"/>
          <w:divBdr>
            <w:top w:val="none" w:sz="0" w:space="0" w:color="auto"/>
            <w:left w:val="none" w:sz="0" w:space="0" w:color="auto"/>
            <w:bottom w:val="none" w:sz="0" w:space="0" w:color="auto"/>
            <w:right w:val="none" w:sz="0" w:space="0" w:color="auto"/>
          </w:divBdr>
        </w:div>
        <w:div w:id="46296391">
          <w:marLeft w:val="0"/>
          <w:marRight w:val="270"/>
          <w:marTop w:val="0"/>
          <w:marBottom w:val="0"/>
          <w:divBdr>
            <w:top w:val="none" w:sz="0" w:space="0" w:color="auto"/>
            <w:left w:val="none" w:sz="0" w:space="0" w:color="auto"/>
            <w:bottom w:val="none" w:sz="0" w:space="0" w:color="auto"/>
            <w:right w:val="none" w:sz="0" w:space="0" w:color="auto"/>
          </w:divBdr>
        </w:div>
      </w:divsChild>
    </w:div>
    <w:div w:id="2060322664">
      <w:bodyDiv w:val="1"/>
      <w:marLeft w:val="0"/>
      <w:marRight w:val="0"/>
      <w:marTop w:val="0"/>
      <w:marBottom w:val="0"/>
      <w:divBdr>
        <w:top w:val="none" w:sz="0" w:space="0" w:color="auto"/>
        <w:left w:val="none" w:sz="0" w:space="0" w:color="auto"/>
        <w:bottom w:val="none" w:sz="0" w:space="0" w:color="auto"/>
        <w:right w:val="none" w:sz="0" w:space="0" w:color="auto"/>
      </w:divBdr>
    </w:div>
    <w:div w:id="2070569648">
      <w:bodyDiv w:val="1"/>
      <w:marLeft w:val="0"/>
      <w:marRight w:val="0"/>
      <w:marTop w:val="0"/>
      <w:marBottom w:val="0"/>
      <w:divBdr>
        <w:top w:val="none" w:sz="0" w:space="0" w:color="auto"/>
        <w:left w:val="none" w:sz="0" w:space="0" w:color="auto"/>
        <w:bottom w:val="none" w:sz="0" w:space="0" w:color="auto"/>
        <w:right w:val="none" w:sz="0" w:space="0" w:color="auto"/>
      </w:divBdr>
    </w:div>
    <w:div w:id="2091391206">
      <w:bodyDiv w:val="1"/>
      <w:marLeft w:val="0"/>
      <w:marRight w:val="0"/>
      <w:marTop w:val="0"/>
      <w:marBottom w:val="0"/>
      <w:divBdr>
        <w:top w:val="none" w:sz="0" w:space="0" w:color="auto"/>
        <w:left w:val="none" w:sz="0" w:space="0" w:color="auto"/>
        <w:bottom w:val="none" w:sz="0" w:space="0" w:color="auto"/>
        <w:right w:val="none" w:sz="0" w:space="0" w:color="auto"/>
      </w:divBdr>
    </w:div>
    <w:div w:id="21258813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4FB36-34FE-4B4B-8964-A0846FB3E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32</Pages>
  <Words>6657</Words>
  <Characters>37950</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Dumby</Company>
  <LinksUpToDate>false</LinksUpToDate>
  <CharactersWithSpaces>44518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Kluger, Aaron</dc:creator>
  <cp:keywords/>
  <dc:description/>
  <cp:lastModifiedBy>Alice</cp:lastModifiedBy>
  <cp:revision>10</cp:revision>
  <dcterms:created xsi:type="dcterms:W3CDTF">2019-03-03T15:03:00Z</dcterms:created>
  <dcterms:modified xsi:type="dcterms:W3CDTF">2019-08-14T07:50:00Z</dcterms:modified>
</cp:coreProperties>
</file>